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81364" w14:textId="50485440" w:rsidR="00971F83" w:rsidRPr="00AC54C2" w:rsidRDefault="00971F83" w:rsidP="00E65BB9">
      <w:pPr>
        <w:pStyle w:val="Sarakstarindkopa"/>
        <w:spacing w:after="0" w:line="240" w:lineRule="auto"/>
        <w:ind w:left="0"/>
        <w:jc w:val="center"/>
        <w:rPr>
          <w:rFonts w:ascii="Times New Roman" w:hAnsi="Times New Roman" w:cs="Times New Roman"/>
          <w:color w:val="000000" w:themeColor="text1"/>
          <w:sz w:val="24"/>
          <w:szCs w:val="24"/>
        </w:rPr>
      </w:pPr>
      <w:r w:rsidRPr="00AC54C2">
        <w:rPr>
          <w:rFonts w:ascii="Times New Roman" w:hAnsi="Times New Roman" w:cs="Times New Roman"/>
          <w:color w:val="000000" w:themeColor="text1"/>
          <w:sz w:val="24"/>
          <w:szCs w:val="24"/>
        </w:rPr>
        <w:t>Grozījumi Ministru kabineta 2020. gada 9. jūnija noteikumos Nr. 360 "</w:t>
      </w:r>
      <w:hyperlink r:id="rId6" w:tgtFrame="_blank" w:history="1">
        <w:r w:rsidRPr="00AC54C2">
          <w:rPr>
            <w:rStyle w:val="Hipersaite"/>
            <w:rFonts w:ascii="Times New Roman" w:hAnsi="Times New Roman" w:cs="Times New Roman"/>
            <w:color w:val="000000" w:themeColor="text1"/>
            <w:sz w:val="24"/>
            <w:szCs w:val="24"/>
            <w:u w:val="none"/>
          </w:rPr>
          <w:t>Epidemioloģiskās drošības pasākumi Covid-19 infekcijas izplatības ierobežošanai</w:t>
        </w:r>
      </w:hyperlink>
      <w:r w:rsidRPr="00AC54C2">
        <w:rPr>
          <w:rFonts w:ascii="Times New Roman" w:hAnsi="Times New Roman" w:cs="Times New Roman"/>
          <w:color w:val="000000" w:themeColor="text1"/>
          <w:sz w:val="24"/>
          <w:szCs w:val="24"/>
        </w:rPr>
        <w:t>"</w:t>
      </w:r>
    </w:p>
    <w:p w14:paraId="01D4FEFC" w14:textId="01C7760A" w:rsidR="00E65BB9" w:rsidRPr="00AC54C2" w:rsidRDefault="00E65BB9" w:rsidP="00E65BB9">
      <w:pPr>
        <w:pStyle w:val="Sarakstarindkopa"/>
        <w:spacing w:after="0" w:line="240" w:lineRule="auto"/>
        <w:ind w:left="0"/>
        <w:jc w:val="center"/>
        <w:rPr>
          <w:rFonts w:ascii="Times New Roman" w:hAnsi="Times New Roman" w:cs="Times New Roman"/>
          <w:color w:val="000000" w:themeColor="text1"/>
          <w:sz w:val="24"/>
          <w:szCs w:val="24"/>
        </w:rPr>
      </w:pPr>
      <w:r w:rsidRPr="00AC54C2">
        <w:rPr>
          <w:rFonts w:ascii="Times New Roman" w:hAnsi="Times New Roman" w:cs="Times New Roman"/>
          <w:color w:val="000000" w:themeColor="text1"/>
          <w:sz w:val="24"/>
          <w:szCs w:val="24"/>
        </w:rPr>
        <w:t>Stājas spēkā 01.05.2021.</w:t>
      </w:r>
    </w:p>
    <w:p w14:paraId="102CB9A1" w14:textId="5D04F41E" w:rsidR="006A3DC7" w:rsidRPr="00AC54C2" w:rsidRDefault="006A3DC7" w:rsidP="00764DC1">
      <w:pPr>
        <w:rPr>
          <w:rFonts w:ascii="Times New Roman" w:hAnsi="Times New Roman" w:cs="Times New Roman"/>
          <w:color w:val="000000" w:themeColor="text1"/>
          <w:sz w:val="24"/>
          <w:szCs w:val="24"/>
        </w:rPr>
      </w:pPr>
    </w:p>
    <w:tbl>
      <w:tblPr>
        <w:tblStyle w:val="Reatabula"/>
        <w:tblW w:w="0" w:type="auto"/>
        <w:tblLook w:val="04A0" w:firstRow="1" w:lastRow="0" w:firstColumn="1" w:lastColumn="0" w:noHBand="0" w:noVBand="1"/>
      </w:tblPr>
      <w:tblGrid>
        <w:gridCol w:w="8963"/>
      </w:tblGrid>
      <w:tr w:rsidR="00764DC1" w:rsidRPr="00AC54C2" w14:paraId="61842E94" w14:textId="77777777" w:rsidTr="00764DC1">
        <w:tc>
          <w:tcPr>
            <w:tcW w:w="8963" w:type="dxa"/>
          </w:tcPr>
          <w:p w14:paraId="342F342C" w14:textId="77777777" w:rsidR="00C73822" w:rsidRPr="00AC54C2" w:rsidRDefault="00C73822" w:rsidP="00C73822">
            <w:pPr>
              <w:pStyle w:val="Paraststmeklis"/>
              <w:shd w:val="clear" w:color="auto" w:fill="FFFFFF"/>
              <w:spacing w:before="0" w:beforeAutospacing="0" w:after="0" w:afterAutospacing="0"/>
              <w:rPr>
                <w:color w:val="000000" w:themeColor="text1"/>
              </w:rPr>
            </w:pPr>
            <w:r w:rsidRPr="00AC54C2">
              <w:rPr>
                <w:color w:val="000000" w:themeColor="text1"/>
              </w:rPr>
              <w:t>izteikt 15.</w:t>
            </w:r>
            <w:r w:rsidRPr="00AC54C2">
              <w:rPr>
                <w:color w:val="000000" w:themeColor="text1"/>
                <w:vertAlign w:val="superscript"/>
              </w:rPr>
              <w:t>2</w:t>
            </w:r>
            <w:r w:rsidRPr="00AC54C2">
              <w:rPr>
                <w:color w:val="000000" w:themeColor="text1"/>
              </w:rPr>
              <w:t> punktu šādā redakcijā:</w:t>
            </w:r>
          </w:p>
          <w:p w14:paraId="11F13861" w14:textId="77777777" w:rsidR="00C73822" w:rsidRPr="00AC54C2" w:rsidRDefault="00C73822" w:rsidP="00C73822">
            <w:pPr>
              <w:pStyle w:val="Paraststmeklis"/>
              <w:shd w:val="clear" w:color="auto" w:fill="FFFFFF"/>
              <w:spacing w:before="0" w:beforeAutospacing="0" w:after="0" w:afterAutospacing="0"/>
              <w:rPr>
                <w:color w:val="000000" w:themeColor="text1"/>
              </w:rPr>
            </w:pPr>
            <w:r w:rsidRPr="00AC54C2">
              <w:rPr>
                <w:color w:val="000000" w:themeColor="text1"/>
              </w:rPr>
              <w:t>"15.</w:t>
            </w:r>
            <w:r w:rsidRPr="00AC54C2">
              <w:rPr>
                <w:color w:val="000000" w:themeColor="text1"/>
                <w:vertAlign w:val="superscript"/>
              </w:rPr>
              <w:t>2</w:t>
            </w:r>
            <w:r w:rsidRPr="00AC54C2">
              <w:rPr>
                <w:color w:val="000000" w:themeColor="text1"/>
              </w:rPr>
              <w:t xml:space="preserve"> Bibliotēkās, Latvijas Nacionālajā arhīvā un muzejos </w:t>
            </w:r>
            <w:proofErr w:type="spellStart"/>
            <w:r w:rsidRPr="00AC54C2">
              <w:rPr>
                <w:color w:val="000000" w:themeColor="text1"/>
              </w:rPr>
              <w:t>ārtelpās</w:t>
            </w:r>
            <w:proofErr w:type="spellEnd"/>
            <w:r w:rsidRPr="00AC54C2">
              <w:rPr>
                <w:color w:val="000000" w:themeColor="text1"/>
              </w:rPr>
              <w:t xml:space="preserve"> papildus šo noteikumu 15.</w:t>
            </w:r>
            <w:r w:rsidRPr="00AC54C2">
              <w:rPr>
                <w:color w:val="000000" w:themeColor="text1"/>
                <w:vertAlign w:val="superscript"/>
              </w:rPr>
              <w:t>1</w:t>
            </w:r>
            <w:r w:rsidRPr="00AC54C2">
              <w:rPr>
                <w:color w:val="000000" w:themeColor="text1"/>
              </w:rPr>
              <w:t> punktā minētajiem nosacījumiem nodrošina, ka:</w:t>
            </w:r>
          </w:p>
          <w:p w14:paraId="6E0CA426" w14:textId="77777777" w:rsidR="00C73822" w:rsidRPr="00AC54C2" w:rsidRDefault="00C73822" w:rsidP="00C73822">
            <w:pPr>
              <w:pStyle w:val="Paraststmeklis"/>
              <w:shd w:val="clear" w:color="auto" w:fill="FFFFFF"/>
              <w:spacing w:before="0" w:beforeAutospacing="0" w:after="0" w:afterAutospacing="0"/>
              <w:rPr>
                <w:color w:val="000000" w:themeColor="text1"/>
              </w:rPr>
            </w:pPr>
            <w:r w:rsidRPr="00AC54C2">
              <w:rPr>
                <w:color w:val="000000" w:themeColor="text1"/>
              </w:rPr>
              <w:t>15.</w:t>
            </w:r>
            <w:r w:rsidRPr="00AC54C2">
              <w:rPr>
                <w:color w:val="000000" w:themeColor="text1"/>
                <w:vertAlign w:val="superscript"/>
              </w:rPr>
              <w:t>2</w:t>
            </w:r>
            <w:r w:rsidRPr="00AC54C2">
              <w:rPr>
                <w:color w:val="000000" w:themeColor="text1"/>
              </w:rPr>
              <w:t> 1. apmeklētāji ierodas tikai individuāli, izņemot vienas mājsaimniecības locekļus;</w:t>
            </w:r>
          </w:p>
          <w:p w14:paraId="76022782" w14:textId="77777777" w:rsidR="00C73822" w:rsidRPr="00AC54C2" w:rsidRDefault="00C73822" w:rsidP="00C73822">
            <w:pPr>
              <w:pStyle w:val="Paraststmeklis"/>
              <w:shd w:val="clear" w:color="auto" w:fill="FFFFFF"/>
              <w:spacing w:before="0" w:beforeAutospacing="0" w:after="0" w:afterAutospacing="0"/>
              <w:rPr>
                <w:color w:val="000000" w:themeColor="text1"/>
              </w:rPr>
            </w:pPr>
            <w:r w:rsidRPr="00AC54C2">
              <w:rPr>
                <w:color w:val="000000" w:themeColor="text1"/>
              </w:rPr>
              <w:t>15.</w:t>
            </w:r>
            <w:r w:rsidRPr="00AC54C2">
              <w:rPr>
                <w:color w:val="000000" w:themeColor="text1"/>
                <w:vertAlign w:val="superscript"/>
              </w:rPr>
              <w:t>2</w:t>
            </w:r>
            <w:r w:rsidRPr="00AC54C2">
              <w:rPr>
                <w:color w:val="000000" w:themeColor="text1"/>
              </w:rPr>
              <w:t> 2. notiek apmeklētāju vienvirziena plūsma;</w:t>
            </w:r>
          </w:p>
          <w:p w14:paraId="4BB2A109" w14:textId="5C080365" w:rsidR="00C73822" w:rsidRPr="00AC54C2" w:rsidRDefault="00C73822" w:rsidP="00C73822">
            <w:pPr>
              <w:pStyle w:val="Paraststmeklis"/>
              <w:shd w:val="clear" w:color="auto" w:fill="FFFFFF"/>
              <w:spacing w:before="0" w:beforeAutospacing="0" w:after="0" w:afterAutospacing="0"/>
              <w:rPr>
                <w:color w:val="000000" w:themeColor="text1"/>
              </w:rPr>
            </w:pPr>
            <w:r w:rsidRPr="00AC54C2">
              <w:rPr>
                <w:color w:val="000000" w:themeColor="text1"/>
              </w:rPr>
              <w:t>15.</w:t>
            </w:r>
            <w:r w:rsidRPr="00AC54C2">
              <w:rPr>
                <w:color w:val="000000" w:themeColor="text1"/>
                <w:vertAlign w:val="superscript"/>
              </w:rPr>
              <w:t>2</w:t>
            </w:r>
            <w:r w:rsidRPr="00AC54C2">
              <w:rPr>
                <w:color w:val="000000" w:themeColor="text1"/>
              </w:rPr>
              <w:t> 3. Latvijas Nacionālā arhīva lasītavās augstskolās studējošos apkalpo individuāli, nodrošinot divu metru distanci un vienai personai ne mazāk kā 25 m</w:t>
            </w:r>
            <w:r w:rsidRPr="00AC54C2">
              <w:rPr>
                <w:color w:val="000000" w:themeColor="text1"/>
                <w:vertAlign w:val="superscript"/>
              </w:rPr>
              <w:t>2</w:t>
            </w:r>
            <w:r w:rsidRPr="00AC54C2">
              <w:rPr>
                <w:color w:val="000000" w:themeColor="text1"/>
              </w:rPr>
              <w:t> no lasītavas telpas platības, kā arī uzturēšanās laiku lasītavā ne ilgāk par divām stundām."</w:t>
            </w:r>
          </w:p>
          <w:p w14:paraId="4EB06E4C" w14:textId="77777777" w:rsidR="00764DC1" w:rsidRPr="00AC54C2" w:rsidRDefault="00764DC1" w:rsidP="00764DC1">
            <w:pPr>
              <w:rPr>
                <w:rFonts w:ascii="Times New Roman" w:hAnsi="Times New Roman" w:cs="Times New Roman"/>
                <w:color w:val="000000" w:themeColor="text1"/>
                <w:sz w:val="24"/>
                <w:szCs w:val="24"/>
              </w:rPr>
            </w:pPr>
          </w:p>
        </w:tc>
      </w:tr>
      <w:tr w:rsidR="00764DC1" w:rsidRPr="00AC54C2" w14:paraId="2288F647" w14:textId="77777777" w:rsidTr="00764DC1">
        <w:tc>
          <w:tcPr>
            <w:tcW w:w="8963" w:type="dxa"/>
          </w:tcPr>
          <w:p w14:paraId="402A5D69" w14:textId="77777777" w:rsidR="00C73822" w:rsidRPr="00AC54C2" w:rsidRDefault="00C73822" w:rsidP="00C73822">
            <w:pPr>
              <w:pStyle w:val="Paraststmeklis"/>
              <w:shd w:val="clear" w:color="auto" w:fill="FFFFFF"/>
              <w:spacing w:before="0" w:beforeAutospacing="0" w:after="0" w:afterAutospacing="0"/>
              <w:rPr>
                <w:color w:val="000000" w:themeColor="text1"/>
              </w:rPr>
            </w:pPr>
            <w:r w:rsidRPr="00AC54C2">
              <w:rPr>
                <w:color w:val="000000" w:themeColor="text1"/>
              </w:rPr>
              <w:t>izteikt 21. punktu šādā redakcijā:</w:t>
            </w:r>
          </w:p>
          <w:p w14:paraId="344E4A61" w14:textId="20F5A786" w:rsidR="00C73822" w:rsidRPr="00AC54C2" w:rsidRDefault="00C73822" w:rsidP="00C73822">
            <w:pPr>
              <w:pStyle w:val="Paraststmeklis"/>
              <w:shd w:val="clear" w:color="auto" w:fill="FFFFFF"/>
              <w:spacing w:before="0" w:beforeAutospacing="0" w:after="0" w:afterAutospacing="0"/>
              <w:rPr>
                <w:color w:val="000000" w:themeColor="text1"/>
              </w:rPr>
            </w:pPr>
            <w:r w:rsidRPr="00AC54C2">
              <w:rPr>
                <w:color w:val="000000" w:themeColor="text1"/>
              </w:rPr>
              <w:t xml:space="preserve">"21. </w:t>
            </w:r>
            <w:proofErr w:type="spellStart"/>
            <w:r w:rsidRPr="00AC54C2">
              <w:rPr>
                <w:color w:val="000000" w:themeColor="text1"/>
              </w:rPr>
              <w:t>Kultūrvietu</w:t>
            </w:r>
            <w:proofErr w:type="spellEnd"/>
            <w:r w:rsidRPr="00AC54C2">
              <w:rPr>
                <w:color w:val="000000" w:themeColor="text1"/>
              </w:rPr>
              <w:t xml:space="preserve"> un izstāžu norises vietu darbība ir pārtraukta, izņemot muzeju brīvdabas teritorijas, grāmatu izsniegšanu bibliotēkās, augstskolās studējošo individuālu apkalpošanu Latvijas Nacionālā arhīva lasītavās, kā arī epidemioloģiski drošu kultūras norišu </w:t>
            </w:r>
            <w:proofErr w:type="spellStart"/>
            <w:r w:rsidRPr="00AC54C2">
              <w:rPr>
                <w:color w:val="000000" w:themeColor="text1"/>
              </w:rPr>
              <w:t>izmēģinājumprojektus</w:t>
            </w:r>
            <w:proofErr w:type="spellEnd"/>
            <w:r w:rsidRPr="00AC54C2">
              <w:rPr>
                <w:color w:val="000000" w:themeColor="text1"/>
              </w:rPr>
              <w:t xml:space="preserve"> (pilotprojektus), kuru organizēšana ir saskaņota ar Kultūras ministriju un Veselības ministriju un kuru norises epidemioloģiskās drošības prasības saskaņojis Slimību profilakses un kontroles centrs. </w:t>
            </w:r>
            <w:proofErr w:type="spellStart"/>
            <w:r w:rsidRPr="00AC54C2">
              <w:rPr>
                <w:color w:val="000000" w:themeColor="text1"/>
              </w:rPr>
              <w:t>Kultūrvietās</w:t>
            </w:r>
            <w:proofErr w:type="spellEnd"/>
            <w:r w:rsidRPr="00AC54C2">
              <w:rPr>
                <w:color w:val="000000" w:themeColor="text1"/>
              </w:rPr>
              <w:t xml:space="preserve"> var notikt organizēti profesionālās mākslas mēģinājumi no plkst. 6.00 līdz plkst. 22.00. Publikai slēgtus profesionālās skatuves mākslas iestudējumu ģenerālmēģinājumus vai pirmizrādes klātienē var apmeklēt līdz 10 attiecīgās nozares kritiķi, ja tiek nodrošināta divu metru distance un vienai personai ne mazāk kā 25 m</w:t>
            </w:r>
            <w:r w:rsidRPr="00AC54C2">
              <w:rPr>
                <w:color w:val="000000" w:themeColor="text1"/>
                <w:vertAlign w:val="superscript"/>
              </w:rPr>
              <w:t>2</w:t>
            </w:r>
            <w:r w:rsidRPr="00AC54C2">
              <w:rPr>
                <w:color w:val="000000" w:themeColor="text1"/>
              </w:rPr>
              <w:t> no pieejamās telpu platības."</w:t>
            </w:r>
          </w:p>
          <w:p w14:paraId="26FBBCDB" w14:textId="77777777" w:rsidR="00764DC1" w:rsidRPr="00AC54C2" w:rsidRDefault="00764DC1" w:rsidP="00764DC1">
            <w:pPr>
              <w:rPr>
                <w:rFonts w:ascii="Times New Roman" w:hAnsi="Times New Roman" w:cs="Times New Roman"/>
                <w:color w:val="000000" w:themeColor="text1"/>
                <w:sz w:val="24"/>
                <w:szCs w:val="24"/>
              </w:rPr>
            </w:pPr>
          </w:p>
        </w:tc>
      </w:tr>
      <w:tr w:rsidR="00764DC1" w:rsidRPr="00AC54C2" w14:paraId="2EFEE59A" w14:textId="77777777" w:rsidTr="00764DC1">
        <w:tc>
          <w:tcPr>
            <w:tcW w:w="8963" w:type="dxa"/>
          </w:tcPr>
          <w:p w14:paraId="696044AF" w14:textId="77777777" w:rsidR="004B68F7" w:rsidRDefault="00C73822" w:rsidP="00764DC1">
            <w:pPr>
              <w:rPr>
                <w:rFonts w:ascii="Times New Roman" w:hAnsi="Times New Roman" w:cs="Times New Roman"/>
                <w:color w:val="000000" w:themeColor="text1"/>
                <w:sz w:val="24"/>
                <w:szCs w:val="24"/>
              </w:rPr>
            </w:pPr>
            <w:r w:rsidRPr="00AC54C2">
              <w:rPr>
                <w:rFonts w:ascii="Times New Roman" w:hAnsi="Times New Roman" w:cs="Times New Roman"/>
                <w:color w:val="000000" w:themeColor="text1"/>
                <w:sz w:val="24"/>
                <w:szCs w:val="24"/>
              </w:rPr>
              <w:t xml:space="preserve"> svītrot 26.</w:t>
            </w:r>
            <w:r w:rsidRPr="00AC54C2">
              <w:rPr>
                <w:rFonts w:ascii="Times New Roman" w:hAnsi="Times New Roman" w:cs="Times New Roman"/>
                <w:color w:val="000000" w:themeColor="text1"/>
                <w:sz w:val="24"/>
                <w:szCs w:val="24"/>
                <w:vertAlign w:val="superscript"/>
              </w:rPr>
              <w:t>1</w:t>
            </w:r>
            <w:r w:rsidRPr="00AC54C2">
              <w:rPr>
                <w:rFonts w:ascii="Times New Roman" w:hAnsi="Times New Roman" w:cs="Times New Roman"/>
                <w:color w:val="000000" w:themeColor="text1"/>
                <w:sz w:val="24"/>
                <w:szCs w:val="24"/>
              </w:rPr>
              <w:t> punktu;</w:t>
            </w:r>
          </w:p>
          <w:p w14:paraId="1EF1AB02" w14:textId="3712DB38" w:rsidR="004B68F7" w:rsidRDefault="004B68F7" w:rsidP="00764DC1">
            <w:pPr>
              <w:rPr>
                <w:rFonts w:ascii="Arial" w:hAnsi="Arial" w:cs="Arial"/>
                <w:color w:val="414142"/>
                <w:sz w:val="20"/>
                <w:szCs w:val="20"/>
                <w:shd w:val="clear" w:color="auto" w:fill="FFFFFF"/>
              </w:rPr>
            </w:pPr>
          </w:p>
          <w:p w14:paraId="46F4869A" w14:textId="74BBA828" w:rsidR="004B68F7" w:rsidRDefault="004B68F7" w:rsidP="00764DC1">
            <w:pPr>
              <w:rPr>
                <w:rFonts w:ascii="Arial" w:hAnsi="Arial" w:cs="Arial"/>
                <w:color w:val="414142"/>
                <w:sz w:val="20"/>
                <w:szCs w:val="20"/>
                <w:shd w:val="clear" w:color="auto" w:fill="FFFFFF"/>
              </w:rPr>
            </w:pPr>
            <w:r w:rsidRPr="004B68F7">
              <w:rPr>
                <w:rFonts w:ascii="Times New Roman" w:hAnsi="Times New Roman" w:cs="Times New Roman"/>
                <w:strike/>
                <w:color w:val="FF0000"/>
                <w:sz w:val="20"/>
                <w:szCs w:val="20"/>
                <w:shd w:val="clear" w:color="auto" w:fill="FFFFFF"/>
              </w:rPr>
              <w:t>26.</w:t>
            </w:r>
            <w:r w:rsidRPr="004B68F7">
              <w:rPr>
                <w:rFonts w:ascii="Times New Roman" w:hAnsi="Times New Roman" w:cs="Times New Roman"/>
                <w:strike/>
                <w:color w:val="FF0000"/>
                <w:shd w:val="clear" w:color="auto" w:fill="FFFFFF"/>
                <w:vertAlign w:val="superscript"/>
              </w:rPr>
              <w:t>1</w:t>
            </w:r>
            <w:r w:rsidRPr="004B68F7">
              <w:rPr>
                <w:rFonts w:ascii="Times New Roman" w:hAnsi="Times New Roman" w:cs="Times New Roman"/>
                <w:strike/>
                <w:color w:val="FF0000"/>
                <w:sz w:val="20"/>
                <w:szCs w:val="20"/>
                <w:shd w:val="clear" w:color="auto" w:fill="FFFFFF"/>
              </w:rPr>
              <w:t> Izglītības iestādē nodarbinātie un izglītojamie, kuri sasnieguši 13 gadu vecumu, ārpus tiešās izglītības programmas apguves lieto mutes un deguna aizsegus. Minēto nosacījumu nepiemēro šo noteikumu 6.3.</w:t>
            </w:r>
            <w:r w:rsidRPr="004B68F7">
              <w:rPr>
                <w:rFonts w:ascii="Times New Roman" w:hAnsi="Times New Roman" w:cs="Times New Roman"/>
                <w:strike/>
                <w:color w:val="FF0000"/>
                <w:shd w:val="clear" w:color="auto" w:fill="FFFFFF"/>
                <w:vertAlign w:val="superscript"/>
              </w:rPr>
              <w:t>3</w:t>
            </w:r>
            <w:r w:rsidRPr="004B68F7">
              <w:rPr>
                <w:rFonts w:ascii="Times New Roman" w:hAnsi="Times New Roman" w:cs="Times New Roman"/>
                <w:strike/>
                <w:color w:val="FF0000"/>
                <w:sz w:val="20"/>
                <w:szCs w:val="20"/>
                <w:shd w:val="clear" w:color="auto" w:fill="FFFFFF"/>
              </w:rPr>
              <w:t> apakšpunktā minētajām personām</w:t>
            </w:r>
            <w:r>
              <w:rPr>
                <w:rFonts w:ascii="Arial" w:hAnsi="Arial" w:cs="Arial"/>
                <w:color w:val="414142"/>
                <w:sz w:val="20"/>
                <w:szCs w:val="20"/>
                <w:shd w:val="clear" w:color="auto" w:fill="FFFFFF"/>
              </w:rPr>
              <w:t>.</w:t>
            </w:r>
          </w:p>
          <w:p w14:paraId="7B5CB7AA" w14:textId="3B86016E" w:rsidR="004B68F7" w:rsidRPr="00AC54C2" w:rsidRDefault="004B68F7" w:rsidP="00764DC1">
            <w:pPr>
              <w:rPr>
                <w:rFonts w:ascii="Times New Roman" w:hAnsi="Times New Roman" w:cs="Times New Roman"/>
                <w:color w:val="000000" w:themeColor="text1"/>
                <w:sz w:val="24"/>
                <w:szCs w:val="24"/>
              </w:rPr>
            </w:pPr>
          </w:p>
        </w:tc>
      </w:tr>
      <w:tr w:rsidR="00764DC1" w:rsidRPr="00AC54C2" w14:paraId="3A09742E" w14:textId="77777777" w:rsidTr="00764DC1">
        <w:tc>
          <w:tcPr>
            <w:tcW w:w="8963" w:type="dxa"/>
          </w:tcPr>
          <w:p w14:paraId="302C02EB" w14:textId="77777777" w:rsidR="00E65BB9" w:rsidRPr="00AC54C2" w:rsidRDefault="00E65BB9" w:rsidP="00E65BB9">
            <w:pPr>
              <w:pStyle w:val="Paraststmeklis"/>
              <w:shd w:val="clear" w:color="auto" w:fill="FFFFFF"/>
              <w:spacing w:before="0" w:beforeAutospacing="0" w:after="0" w:afterAutospacing="0"/>
              <w:rPr>
                <w:color w:val="000000" w:themeColor="text1"/>
              </w:rPr>
            </w:pPr>
            <w:r w:rsidRPr="00AC54C2">
              <w:rPr>
                <w:color w:val="000000" w:themeColor="text1"/>
              </w:rPr>
              <w:t>izteikt 27.</w:t>
            </w:r>
            <w:r w:rsidRPr="00AC54C2">
              <w:rPr>
                <w:color w:val="000000" w:themeColor="text1"/>
                <w:vertAlign w:val="superscript"/>
              </w:rPr>
              <w:t>8</w:t>
            </w:r>
            <w:r w:rsidRPr="00AC54C2">
              <w:rPr>
                <w:color w:val="000000" w:themeColor="text1"/>
              </w:rPr>
              <w:t> punkta ievaddaļu šādā redakcijā:</w:t>
            </w:r>
          </w:p>
          <w:p w14:paraId="2378D062" w14:textId="00EF1B4B" w:rsidR="00E65BB9" w:rsidRPr="00AC54C2" w:rsidRDefault="00E65BB9" w:rsidP="00E65BB9">
            <w:pPr>
              <w:pStyle w:val="Paraststmeklis"/>
              <w:shd w:val="clear" w:color="auto" w:fill="FFFFFF"/>
              <w:spacing w:before="0" w:beforeAutospacing="0" w:after="0" w:afterAutospacing="0"/>
              <w:rPr>
                <w:color w:val="000000" w:themeColor="text1"/>
              </w:rPr>
            </w:pPr>
            <w:r w:rsidRPr="00AC54C2">
              <w:rPr>
                <w:color w:val="000000" w:themeColor="text1"/>
              </w:rPr>
              <w:t>"27.</w:t>
            </w:r>
            <w:r w:rsidRPr="00AC54C2">
              <w:rPr>
                <w:color w:val="000000" w:themeColor="text1"/>
                <w:vertAlign w:val="superscript"/>
              </w:rPr>
              <w:t>8</w:t>
            </w:r>
            <w:r w:rsidRPr="00AC54C2">
              <w:rPr>
                <w:color w:val="000000" w:themeColor="text1"/>
              </w:rPr>
              <w:t> Profesionālās izglītības ieguvē izglītības iestādes vadītājs, izvērtējot situāciju un konkrētās profesionālās izglītības programmas specifiku, var ar rīkojumu samazināt kvalifikācijas prakses apjomu ne vairāk kā par 320 stundām profesionālās vidējās izglītības programmās un arodizglītības programmās, ne vairāk kā par 240 stundām profesionālās pamatizglītības programmās un ne vairāk kā par 200 stundām profesionālās tālākizglītības programmās, kuras īsteno ieslodzījuma vietās, ja ir izpildīti šādi nosacījumi:"</w:t>
            </w:r>
          </w:p>
          <w:p w14:paraId="03BB0DB4" w14:textId="77777777" w:rsidR="00764DC1" w:rsidRPr="00AC54C2" w:rsidRDefault="00764DC1" w:rsidP="00764DC1">
            <w:pPr>
              <w:rPr>
                <w:rFonts w:ascii="Times New Roman" w:hAnsi="Times New Roman" w:cs="Times New Roman"/>
                <w:color w:val="000000" w:themeColor="text1"/>
                <w:sz w:val="24"/>
                <w:szCs w:val="24"/>
              </w:rPr>
            </w:pPr>
          </w:p>
        </w:tc>
      </w:tr>
      <w:tr w:rsidR="00764DC1" w:rsidRPr="00AC54C2" w14:paraId="74956F4B" w14:textId="77777777" w:rsidTr="00764DC1">
        <w:tc>
          <w:tcPr>
            <w:tcW w:w="8963" w:type="dxa"/>
          </w:tcPr>
          <w:p w14:paraId="661DA549" w14:textId="51FAB82E" w:rsidR="00764DC1" w:rsidRPr="007E3F4F" w:rsidRDefault="00E65BB9" w:rsidP="00764DC1">
            <w:pPr>
              <w:rPr>
                <w:rFonts w:ascii="Times New Roman" w:hAnsi="Times New Roman" w:cs="Times New Roman"/>
                <w:sz w:val="24"/>
                <w:szCs w:val="24"/>
              </w:rPr>
            </w:pPr>
            <w:r w:rsidRPr="007E3F4F">
              <w:rPr>
                <w:rFonts w:ascii="Times New Roman" w:hAnsi="Times New Roman" w:cs="Times New Roman"/>
                <w:sz w:val="24"/>
                <w:szCs w:val="24"/>
              </w:rPr>
              <w:t>aizstāt 27.</w:t>
            </w:r>
            <w:r w:rsidRPr="007E3F4F">
              <w:rPr>
                <w:rFonts w:ascii="Times New Roman" w:hAnsi="Times New Roman" w:cs="Times New Roman"/>
                <w:sz w:val="24"/>
                <w:szCs w:val="24"/>
                <w:vertAlign w:val="superscript"/>
              </w:rPr>
              <w:t>8</w:t>
            </w:r>
            <w:r w:rsidRPr="007E3F4F">
              <w:rPr>
                <w:rFonts w:ascii="Times New Roman" w:hAnsi="Times New Roman" w:cs="Times New Roman"/>
                <w:sz w:val="24"/>
                <w:szCs w:val="24"/>
              </w:rPr>
              <w:t> 1. apakšpunktā skaitli un vārdus "2021. gada pirmajā pusgadā" ar vārdiem un skaitļiem "līdz 2021. gada 31. augustam";</w:t>
            </w:r>
          </w:p>
          <w:p w14:paraId="1A788D56" w14:textId="77777777" w:rsidR="007E3F4F" w:rsidRPr="007E3F4F" w:rsidRDefault="007E3F4F" w:rsidP="00764DC1">
            <w:pPr>
              <w:rPr>
                <w:rFonts w:ascii="Times New Roman" w:hAnsi="Times New Roman" w:cs="Times New Roman"/>
                <w:sz w:val="24"/>
                <w:szCs w:val="24"/>
              </w:rPr>
            </w:pPr>
          </w:p>
          <w:p w14:paraId="2A0B5978" w14:textId="3AA76D48" w:rsidR="007E3F4F" w:rsidRPr="007E3F4F" w:rsidRDefault="007E3F4F" w:rsidP="00764DC1">
            <w:pPr>
              <w:rPr>
                <w:rFonts w:ascii="Times New Roman" w:hAnsi="Times New Roman" w:cs="Times New Roman"/>
                <w:sz w:val="20"/>
                <w:szCs w:val="20"/>
              </w:rPr>
            </w:pPr>
            <w:r w:rsidRPr="007E3F4F">
              <w:rPr>
                <w:rFonts w:ascii="Times New Roman" w:hAnsi="Times New Roman" w:cs="Times New Roman"/>
                <w:sz w:val="20"/>
                <w:szCs w:val="20"/>
                <w:shd w:val="clear" w:color="auto" w:fill="FFFFFF"/>
              </w:rPr>
              <w:t>27.</w:t>
            </w:r>
            <w:r w:rsidRPr="007E3F4F">
              <w:rPr>
                <w:rFonts w:ascii="Times New Roman" w:hAnsi="Times New Roman" w:cs="Times New Roman"/>
                <w:sz w:val="20"/>
                <w:szCs w:val="20"/>
                <w:shd w:val="clear" w:color="auto" w:fill="FFFFFF"/>
                <w:vertAlign w:val="superscript"/>
              </w:rPr>
              <w:t>8 </w:t>
            </w:r>
            <w:r w:rsidRPr="007E3F4F">
              <w:rPr>
                <w:rFonts w:ascii="Times New Roman" w:hAnsi="Times New Roman" w:cs="Times New Roman"/>
                <w:sz w:val="20"/>
                <w:szCs w:val="20"/>
                <w:shd w:val="clear" w:color="auto" w:fill="FFFFFF"/>
              </w:rPr>
              <w:t xml:space="preserve">1. kvalifikācijas prakse nepieciešama profesionālo prasmju vai kvalifikācijas ieguvei </w:t>
            </w:r>
            <w:r w:rsidRPr="007E3F4F">
              <w:rPr>
                <w:rFonts w:ascii="Times New Roman" w:hAnsi="Times New Roman" w:cs="Times New Roman"/>
                <w:strike/>
                <w:color w:val="FF0000"/>
                <w:sz w:val="20"/>
                <w:szCs w:val="20"/>
                <w:shd w:val="clear" w:color="auto" w:fill="FFFFFF"/>
              </w:rPr>
              <w:t>2021. gada pirmajā pusgadā</w:t>
            </w:r>
            <w:r w:rsidRPr="007E3F4F">
              <w:rPr>
                <w:rFonts w:ascii="Times New Roman" w:hAnsi="Times New Roman" w:cs="Times New Roman"/>
                <w:sz w:val="24"/>
                <w:szCs w:val="24"/>
              </w:rPr>
              <w:t xml:space="preserve"> </w:t>
            </w:r>
            <w:r w:rsidRPr="007E3F4F">
              <w:rPr>
                <w:rFonts w:ascii="Times New Roman" w:hAnsi="Times New Roman" w:cs="Times New Roman"/>
                <w:color w:val="FF0000"/>
                <w:sz w:val="20"/>
                <w:szCs w:val="20"/>
              </w:rPr>
              <w:t>līdz 2021. gada 31. augustam</w:t>
            </w:r>
            <w:r w:rsidRPr="007E3F4F">
              <w:rPr>
                <w:rFonts w:ascii="Times New Roman" w:hAnsi="Times New Roman" w:cs="Times New Roman"/>
                <w:sz w:val="20"/>
                <w:szCs w:val="20"/>
                <w:shd w:val="clear" w:color="auto" w:fill="FFFFFF"/>
              </w:rPr>
              <w:t>;</w:t>
            </w:r>
          </w:p>
          <w:p w14:paraId="17BACE9F" w14:textId="1A5AD789" w:rsidR="007E3F4F" w:rsidRPr="007E3F4F" w:rsidRDefault="007E3F4F" w:rsidP="00764DC1">
            <w:pPr>
              <w:rPr>
                <w:rFonts w:ascii="Times New Roman" w:hAnsi="Times New Roman" w:cs="Times New Roman"/>
                <w:sz w:val="24"/>
                <w:szCs w:val="24"/>
              </w:rPr>
            </w:pPr>
          </w:p>
        </w:tc>
      </w:tr>
      <w:tr w:rsidR="00764DC1" w:rsidRPr="00AC54C2" w14:paraId="36BD7A7E" w14:textId="77777777" w:rsidTr="00764DC1">
        <w:tc>
          <w:tcPr>
            <w:tcW w:w="8963" w:type="dxa"/>
          </w:tcPr>
          <w:p w14:paraId="5350644C" w14:textId="77777777" w:rsidR="00E65BB9" w:rsidRPr="007E3F4F" w:rsidRDefault="00E65BB9" w:rsidP="00E65BB9">
            <w:pPr>
              <w:pStyle w:val="Paraststmeklis"/>
              <w:shd w:val="clear" w:color="auto" w:fill="FFFFFF"/>
              <w:spacing w:before="0" w:beforeAutospacing="0" w:after="0" w:afterAutospacing="0"/>
            </w:pPr>
            <w:r w:rsidRPr="007E3F4F">
              <w:t>izteikt 27.</w:t>
            </w:r>
            <w:r w:rsidRPr="007E3F4F">
              <w:rPr>
                <w:vertAlign w:val="superscript"/>
              </w:rPr>
              <w:t>8</w:t>
            </w:r>
            <w:r w:rsidRPr="007E3F4F">
              <w:t> 4. apakšpunktu šādā redakcijā:</w:t>
            </w:r>
          </w:p>
          <w:p w14:paraId="4E24A527" w14:textId="77777777" w:rsidR="00E65BB9" w:rsidRPr="007E3F4F" w:rsidRDefault="00E65BB9" w:rsidP="00E65BB9">
            <w:pPr>
              <w:pStyle w:val="Paraststmeklis"/>
              <w:shd w:val="clear" w:color="auto" w:fill="FFFFFF"/>
              <w:spacing w:before="0" w:beforeAutospacing="0" w:after="0" w:afterAutospacing="0"/>
            </w:pPr>
            <w:r w:rsidRPr="007E3F4F">
              <w:t>"27.</w:t>
            </w:r>
            <w:r w:rsidRPr="007E3F4F">
              <w:rPr>
                <w:vertAlign w:val="superscript"/>
              </w:rPr>
              <w:t>8</w:t>
            </w:r>
            <w:r w:rsidRPr="007E3F4F">
              <w:t> 4. konkrētā izglītības programma nav modulārā programma, izņemot profesionālās tālākizglītības programmas, kuras īsteno ieslodzījuma vietās.";</w:t>
            </w:r>
          </w:p>
          <w:p w14:paraId="23DB7FAB" w14:textId="44184098" w:rsidR="007E3F4F" w:rsidRPr="007E3F4F" w:rsidRDefault="007E3F4F" w:rsidP="00764DC1">
            <w:pPr>
              <w:rPr>
                <w:rFonts w:ascii="Times New Roman" w:hAnsi="Times New Roman" w:cs="Times New Roman"/>
                <w:sz w:val="20"/>
                <w:szCs w:val="20"/>
              </w:rPr>
            </w:pPr>
          </w:p>
        </w:tc>
      </w:tr>
      <w:tr w:rsidR="00E65BB9" w:rsidRPr="00AC54C2" w14:paraId="567D9A08" w14:textId="77777777" w:rsidTr="00764DC1">
        <w:tc>
          <w:tcPr>
            <w:tcW w:w="8963" w:type="dxa"/>
          </w:tcPr>
          <w:p w14:paraId="611C74FF" w14:textId="77777777" w:rsidR="00E65BB9" w:rsidRPr="00AC54C2" w:rsidRDefault="00E65BB9" w:rsidP="00E65BB9">
            <w:pPr>
              <w:pStyle w:val="Paraststmeklis"/>
              <w:shd w:val="clear" w:color="auto" w:fill="FFFFFF"/>
              <w:spacing w:before="0" w:beforeAutospacing="0" w:after="0" w:afterAutospacing="0"/>
              <w:rPr>
                <w:color w:val="000000" w:themeColor="text1"/>
              </w:rPr>
            </w:pPr>
            <w:r w:rsidRPr="00AC54C2">
              <w:rPr>
                <w:color w:val="000000" w:themeColor="text1"/>
              </w:rPr>
              <w:t>aizstāt 32.</w:t>
            </w:r>
            <w:r w:rsidRPr="00AC54C2">
              <w:rPr>
                <w:color w:val="000000" w:themeColor="text1"/>
                <w:vertAlign w:val="superscript"/>
              </w:rPr>
              <w:t>7</w:t>
            </w:r>
            <w:r w:rsidRPr="00AC54C2">
              <w:rPr>
                <w:color w:val="000000" w:themeColor="text1"/>
              </w:rPr>
              <w:t> 2.1. apakšpunktā vārdus un skaitli "Mutes un deguna aizsegu var nelietot šo noteikumu 6.3.1.1. apakšpunktā minētās personas" ar vārdiem "Izglītojamie, kas apgūst pirmsskolas izglītības programmas, mutes un deguna aizsegu var nelietot";</w:t>
            </w:r>
          </w:p>
          <w:p w14:paraId="62344DE2" w14:textId="77777777" w:rsidR="00AC54C2" w:rsidRPr="00AC54C2" w:rsidRDefault="00AC54C2" w:rsidP="00E65BB9">
            <w:pPr>
              <w:pStyle w:val="Paraststmeklis"/>
              <w:shd w:val="clear" w:color="auto" w:fill="FFFFFF"/>
              <w:spacing w:before="0" w:beforeAutospacing="0" w:after="0" w:afterAutospacing="0"/>
              <w:rPr>
                <w:color w:val="000000" w:themeColor="text1"/>
              </w:rPr>
            </w:pPr>
          </w:p>
          <w:p w14:paraId="732E68F6" w14:textId="24E32BA0" w:rsidR="00AC54C2" w:rsidRPr="007E3F4F" w:rsidRDefault="00AC54C2" w:rsidP="00AC54C2">
            <w:pPr>
              <w:pStyle w:val="Paraststmeklis"/>
              <w:shd w:val="clear" w:color="auto" w:fill="FFFFFF"/>
              <w:spacing w:before="0" w:beforeAutospacing="0" w:after="0" w:afterAutospacing="0"/>
              <w:jc w:val="both"/>
              <w:rPr>
                <w:color w:val="000000" w:themeColor="text1"/>
                <w:sz w:val="20"/>
                <w:szCs w:val="20"/>
              </w:rPr>
            </w:pPr>
            <w:r w:rsidRPr="007E3F4F">
              <w:rPr>
                <w:color w:val="000000" w:themeColor="text1"/>
                <w:sz w:val="20"/>
                <w:szCs w:val="20"/>
                <w:shd w:val="clear" w:color="auto" w:fill="FFFFFF"/>
              </w:rPr>
              <w:t>32.</w:t>
            </w:r>
            <w:r w:rsidRPr="007E3F4F">
              <w:rPr>
                <w:color w:val="000000" w:themeColor="text1"/>
                <w:sz w:val="20"/>
                <w:szCs w:val="20"/>
                <w:shd w:val="clear" w:color="auto" w:fill="FFFFFF"/>
                <w:vertAlign w:val="superscript"/>
              </w:rPr>
              <w:t>7 </w:t>
            </w:r>
            <w:r w:rsidRPr="007E3F4F">
              <w:rPr>
                <w:color w:val="000000" w:themeColor="text1"/>
                <w:sz w:val="20"/>
                <w:szCs w:val="20"/>
                <w:shd w:val="clear" w:color="auto" w:fill="FFFFFF"/>
              </w:rPr>
              <w:t xml:space="preserve">2.1. pirmsskolas izglītības programmas apguvi. Mācību procesu īsteno, veicot izglītības iestādē klātienē nodarbināto iknedēļas testēšanu un nodrošinot, ka izglītības iestādē nodarbinātie ievēro epidemioloģiskās drošības prasības un mācību procesa laikā un ārpus tā lieto mutes un deguna aizsegus. </w:t>
            </w:r>
            <w:r w:rsidRPr="007E3F4F">
              <w:rPr>
                <w:strike/>
                <w:color w:val="FF0000"/>
                <w:sz w:val="20"/>
                <w:szCs w:val="20"/>
                <w:shd w:val="clear" w:color="auto" w:fill="FFFFFF"/>
              </w:rPr>
              <w:t>Mutes un deguna aizsegu var nelietot šo noteikumu 6.3.1.1. apakšpunktā minētās personas</w:t>
            </w:r>
            <w:r w:rsidRPr="007E3F4F">
              <w:rPr>
                <w:color w:val="FF0000"/>
                <w:sz w:val="20"/>
                <w:szCs w:val="20"/>
              </w:rPr>
              <w:t xml:space="preserve"> </w:t>
            </w:r>
            <w:r w:rsidRPr="007E3F4F">
              <w:rPr>
                <w:color w:val="FF0000"/>
                <w:sz w:val="20"/>
                <w:szCs w:val="20"/>
              </w:rPr>
              <w:t>Izglītojamie, kas apgūst pirmsskolas izglītības programmas, mutes un deguna aizsegu var nelietot</w:t>
            </w:r>
            <w:r w:rsidRPr="007E3F4F">
              <w:rPr>
                <w:color w:val="FF0000"/>
                <w:sz w:val="20"/>
                <w:szCs w:val="20"/>
              </w:rPr>
              <w:t>;</w:t>
            </w:r>
          </w:p>
        </w:tc>
      </w:tr>
      <w:tr w:rsidR="00E65BB9" w:rsidRPr="00AC54C2" w14:paraId="2AA3151A" w14:textId="77777777" w:rsidTr="00764DC1">
        <w:tc>
          <w:tcPr>
            <w:tcW w:w="8963" w:type="dxa"/>
          </w:tcPr>
          <w:p w14:paraId="110A2F15" w14:textId="77777777" w:rsidR="00E65BB9" w:rsidRPr="00AC54C2" w:rsidRDefault="00E65BB9" w:rsidP="00E65BB9">
            <w:pPr>
              <w:pStyle w:val="Paraststmeklis"/>
              <w:shd w:val="clear" w:color="auto" w:fill="FFFFFF"/>
              <w:spacing w:before="0" w:beforeAutospacing="0" w:after="0" w:afterAutospacing="0"/>
              <w:rPr>
                <w:color w:val="000000" w:themeColor="text1"/>
              </w:rPr>
            </w:pPr>
            <w:r w:rsidRPr="00AC54C2">
              <w:rPr>
                <w:color w:val="000000" w:themeColor="text1"/>
              </w:rPr>
              <w:lastRenderedPageBreak/>
              <w:t>papildināt noteikumus ar 32.</w:t>
            </w:r>
            <w:r w:rsidRPr="00AC54C2">
              <w:rPr>
                <w:color w:val="000000" w:themeColor="text1"/>
                <w:vertAlign w:val="superscript"/>
              </w:rPr>
              <w:t>7</w:t>
            </w:r>
            <w:r w:rsidRPr="00AC54C2">
              <w:rPr>
                <w:color w:val="000000" w:themeColor="text1"/>
              </w:rPr>
              <w:t> 2.9., 32.</w:t>
            </w:r>
            <w:r w:rsidRPr="00AC54C2">
              <w:rPr>
                <w:color w:val="000000" w:themeColor="text1"/>
                <w:vertAlign w:val="superscript"/>
              </w:rPr>
              <w:t>7</w:t>
            </w:r>
            <w:r w:rsidRPr="00AC54C2">
              <w:rPr>
                <w:color w:val="000000" w:themeColor="text1"/>
              </w:rPr>
              <w:t> 2.10., 32.</w:t>
            </w:r>
            <w:r w:rsidRPr="00AC54C2">
              <w:rPr>
                <w:color w:val="000000" w:themeColor="text1"/>
                <w:vertAlign w:val="superscript"/>
              </w:rPr>
              <w:t>7</w:t>
            </w:r>
            <w:r w:rsidRPr="00AC54C2">
              <w:rPr>
                <w:color w:val="000000" w:themeColor="text1"/>
              </w:rPr>
              <w:t> 2.11. un 32.</w:t>
            </w:r>
            <w:r w:rsidRPr="00AC54C2">
              <w:rPr>
                <w:color w:val="000000" w:themeColor="text1"/>
                <w:vertAlign w:val="superscript"/>
              </w:rPr>
              <w:t>7</w:t>
            </w:r>
            <w:r w:rsidRPr="00AC54C2">
              <w:rPr>
                <w:color w:val="000000" w:themeColor="text1"/>
              </w:rPr>
              <w:t> 2.12. apakšpunktu šādā redakcijā:</w:t>
            </w:r>
          </w:p>
          <w:p w14:paraId="4EBCFFBC" w14:textId="77777777" w:rsidR="00E65BB9" w:rsidRPr="00AC54C2" w:rsidRDefault="00E65BB9" w:rsidP="00E65BB9">
            <w:pPr>
              <w:pStyle w:val="Paraststmeklis"/>
              <w:shd w:val="clear" w:color="auto" w:fill="FFFFFF"/>
              <w:spacing w:before="0" w:beforeAutospacing="0" w:after="0" w:afterAutospacing="0"/>
              <w:rPr>
                <w:color w:val="000000" w:themeColor="text1"/>
              </w:rPr>
            </w:pPr>
            <w:r w:rsidRPr="00AC54C2">
              <w:rPr>
                <w:color w:val="000000" w:themeColor="text1"/>
              </w:rPr>
              <w:t>"32.</w:t>
            </w:r>
            <w:r w:rsidRPr="00AC54C2">
              <w:rPr>
                <w:color w:val="000000" w:themeColor="text1"/>
                <w:vertAlign w:val="superscript"/>
              </w:rPr>
              <w:t>7</w:t>
            </w:r>
            <w:r w:rsidRPr="00AC54C2">
              <w:rPr>
                <w:color w:val="000000" w:themeColor="text1"/>
              </w:rPr>
              <w:t> 2.9. valsts pārbaudījumu norisi klātienē pamatizglītības un vidējās izglītības pakāpē, veicot pārbaudījuma norisē iesaistīto personu un izglītojamo testēšanu atbilstoši Veselības ministrijas noteiktajam algoritmam, kā arī profesionālās kvalifikācijas eksāmenu norisi (ne vairāk kā 10 izglītojamiem);</w:t>
            </w:r>
          </w:p>
          <w:p w14:paraId="43ABB799" w14:textId="77777777" w:rsidR="00E65BB9" w:rsidRPr="00AC54C2" w:rsidRDefault="00E65BB9" w:rsidP="00E65BB9">
            <w:pPr>
              <w:pStyle w:val="Paraststmeklis"/>
              <w:shd w:val="clear" w:color="auto" w:fill="FFFFFF"/>
              <w:spacing w:before="0" w:beforeAutospacing="0" w:after="0" w:afterAutospacing="0"/>
              <w:rPr>
                <w:color w:val="000000" w:themeColor="text1"/>
              </w:rPr>
            </w:pPr>
            <w:r w:rsidRPr="00AC54C2">
              <w:rPr>
                <w:color w:val="000000" w:themeColor="text1"/>
              </w:rPr>
              <w:t>32.</w:t>
            </w:r>
            <w:r w:rsidRPr="00AC54C2">
              <w:rPr>
                <w:color w:val="000000" w:themeColor="text1"/>
                <w:vertAlign w:val="superscript"/>
              </w:rPr>
              <w:t>7</w:t>
            </w:r>
            <w:r w:rsidRPr="00AC54C2">
              <w:rPr>
                <w:color w:val="000000" w:themeColor="text1"/>
              </w:rPr>
              <w:t xml:space="preserve"> 2.10. starptautiskās izglītības programmas obligāto pārbaudījumu norisi klātienē grupā ne vairāk kā 10 izglītojamiem Britu vidusskolā Latvijā, Žila </w:t>
            </w:r>
            <w:proofErr w:type="spellStart"/>
            <w:r w:rsidRPr="00AC54C2">
              <w:rPr>
                <w:color w:val="000000" w:themeColor="text1"/>
              </w:rPr>
              <w:t>Verna</w:t>
            </w:r>
            <w:proofErr w:type="spellEnd"/>
            <w:r w:rsidRPr="00AC54C2">
              <w:rPr>
                <w:color w:val="000000" w:themeColor="text1"/>
              </w:rPr>
              <w:t xml:space="preserve"> Rīgas Franču skolā, Rīgas Starptautiskajā skolā, Latvijas Starptautiskajā skolā, Rīgas Vācu skolā un Starptautiskajā vidusskolā "</w:t>
            </w:r>
            <w:proofErr w:type="spellStart"/>
            <w:r w:rsidRPr="00AC54C2">
              <w:rPr>
                <w:color w:val="000000" w:themeColor="text1"/>
              </w:rPr>
              <w:t>Ekziperī</w:t>
            </w:r>
            <w:proofErr w:type="spellEnd"/>
            <w:r w:rsidRPr="00AC54C2">
              <w:rPr>
                <w:color w:val="000000" w:themeColor="text1"/>
              </w:rPr>
              <w:t>";</w:t>
            </w:r>
          </w:p>
          <w:p w14:paraId="2DAF3C6E" w14:textId="77777777" w:rsidR="00E65BB9" w:rsidRPr="00AC54C2" w:rsidRDefault="00E65BB9" w:rsidP="00E65BB9">
            <w:pPr>
              <w:pStyle w:val="Paraststmeklis"/>
              <w:shd w:val="clear" w:color="auto" w:fill="FFFFFF"/>
              <w:spacing w:before="0" w:beforeAutospacing="0" w:after="0" w:afterAutospacing="0"/>
              <w:rPr>
                <w:color w:val="000000" w:themeColor="text1"/>
              </w:rPr>
            </w:pPr>
            <w:r w:rsidRPr="00AC54C2">
              <w:rPr>
                <w:color w:val="000000" w:themeColor="text1"/>
              </w:rPr>
              <w:t>32.</w:t>
            </w:r>
            <w:r w:rsidRPr="00AC54C2">
              <w:rPr>
                <w:color w:val="000000" w:themeColor="text1"/>
                <w:vertAlign w:val="superscript"/>
              </w:rPr>
              <w:t>7</w:t>
            </w:r>
            <w:r w:rsidRPr="00AC54C2">
              <w:rPr>
                <w:color w:val="000000" w:themeColor="text1"/>
              </w:rPr>
              <w:t> 2.11. valsts pārbaudījumu un gala pārbaudījumu norisi klātienē augstskolās un koledžās grupā ne vairāk kā 10 studējošajiem tajās studiju programmās, kurās valsts pārbaudījums vai studiju gala pārbaudījums ietver praktisko daļu;</w:t>
            </w:r>
          </w:p>
          <w:p w14:paraId="36AE0541" w14:textId="7172CE19" w:rsidR="00E65BB9" w:rsidRPr="00AC54C2" w:rsidRDefault="00E65BB9" w:rsidP="00E65BB9">
            <w:pPr>
              <w:pStyle w:val="Paraststmeklis"/>
              <w:shd w:val="clear" w:color="auto" w:fill="FFFFFF"/>
              <w:spacing w:before="0" w:beforeAutospacing="0" w:after="0" w:afterAutospacing="0"/>
              <w:rPr>
                <w:color w:val="000000" w:themeColor="text1"/>
              </w:rPr>
            </w:pPr>
            <w:r w:rsidRPr="00AC54C2">
              <w:rPr>
                <w:color w:val="000000" w:themeColor="text1"/>
              </w:rPr>
              <w:t>32.</w:t>
            </w:r>
            <w:r w:rsidRPr="00AC54C2">
              <w:rPr>
                <w:color w:val="000000" w:themeColor="text1"/>
                <w:vertAlign w:val="superscript"/>
              </w:rPr>
              <w:t>7</w:t>
            </w:r>
            <w:r w:rsidRPr="00AC54C2">
              <w:rPr>
                <w:color w:val="000000" w:themeColor="text1"/>
              </w:rPr>
              <w:t> 2.12. valsts vienotā jurista profesionālās kvalifikācijas eksāmena norisi klātienē augstskolās studējošajiem. Eksāmena norises laikā telpā nodrošina vismaz divu metru distanci starp galdiem. Eksāmena norises telpā un ārpus tās klātesošie lieto mutes un deguna aizsegus un ievēro divu metru distanci. Lai piedalītos valsts vienotā jurista profesionālās kvalifikācijas eksāmena norisē klātienē, personām pēdējo 72 stundu laikā pirms eksāmena ir veikts Covid-19 tests un tas ir negatīvs. Covid-19 testu var neveikt personas, kas dokumentāri var pierādīt, ka pēdējo triju mēnešu laikā bijušas inficētas ar SARS CoV-2 un vairs nerada inficēšanās risku apkārtējiem. Covid-19 testu neveic personas, kas dokumentāri var pierādīt, ka ir pilnībā vakcinējušās pret Covid-19 infekciju."</w:t>
            </w:r>
          </w:p>
          <w:p w14:paraId="003FCCDE" w14:textId="77777777" w:rsidR="00E65BB9" w:rsidRPr="00AC54C2" w:rsidRDefault="00E65BB9" w:rsidP="00E65BB9">
            <w:pPr>
              <w:pStyle w:val="Paraststmeklis"/>
              <w:shd w:val="clear" w:color="auto" w:fill="FFFFFF"/>
              <w:spacing w:before="0" w:beforeAutospacing="0" w:after="0" w:afterAutospacing="0"/>
              <w:rPr>
                <w:color w:val="000000" w:themeColor="text1"/>
              </w:rPr>
            </w:pPr>
          </w:p>
        </w:tc>
      </w:tr>
      <w:tr w:rsidR="00E65BB9" w:rsidRPr="00AC54C2" w14:paraId="015FAF5B" w14:textId="77777777" w:rsidTr="00764DC1">
        <w:tc>
          <w:tcPr>
            <w:tcW w:w="8963" w:type="dxa"/>
          </w:tcPr>
          <w:p w14:paraId="3614A79E" w14:textId="77777777" w:rsidR="00E65BB9" w:rsidRPr="00AC54C2" w:rsidRDefault="00E65BB9" w:rsidP="00E65BB9">
            <w:pPr>
              <w:pStyle w:val="Paraststmeklis"/>
              <w:shd w:val="clear" w:color="auto" w:fill="FFFFFF"/>
              <w:spacing w:before="0" w:beforeAutospacing="0" w:after="0" w:afterAutospacing="0"/>
              <w:rPr>
                <w:color w:val="000000" w:themeColor="text1"/>
              </w:rPr>
            </w:pPr>
            <w:r w:rsidRPr="00AC54C2">
              <w:rPr>
                <w:color w:val="000000" w:themeColor="text1"/>
              </w:rPr>
              <w:t>izteikt 32.</w:t>
            </w:r>
            <w:r w:rsidRPr="00AC54C2">
              <w:rPr>
                <w:color w:val="000000" w:themeColor="text1"/>
                <w:vertAlign w:val="superscript"/>
              </w:rPr>
              <w:t>7</w:t>
            </w:r>
            <w:r w:rsidRPr="00AC54C2">
              <w:rPr>
                <w:color w:val="000000" w:themeColor="text1"/>
              </w:rPr>
              <w:t> 3. apakšpunkta ievaddaļu šādā redakcijā:</w:t>
            </w:r>
          </w:p>
          <w:p w14:paraId="516F35C2" w14:textId="5C598ED7" w:rsidR="00E65BB9" w:rsidRPr="00AC54C2" w:rsidRDefault="00E65BB9" w:rsidP="00E65BB9">
            <w:pPr>
              <w:pStyle w:val="Paraststmeklis"/>
              <w:shd w:val="clear" w:color="auto" w:fill="FFFFFF"/>
              <w:spacing w:before="0" w:beforeAutospacing="0" w:after="0" w:afterAutospacing="0"/>
              <w:rPr>
                <w:color w:val="000000" w:themeColor="text1"/>
              </w:rPr>
            </w:pPr>
            <w:r w:rsidRPr="00AC54C2">
              <w:rPr>
                <w:color w:val="000000" w:themeColor="text1"/>
              </w:rPr>
              <w:t>"32.</w:t>
            </w:r>
            <w:r w:rsidRPr="00AC54C2">
              <w:rPr>
                <w:color w:val="000000" w:themeColor="text1"/>
                <w:vertAlign w:val="superscript"/>
              </w:rPr>
              <w:t>7</w:t>
            </w:r>
            <w:r w:rsidRPr="00AC54C2">
              <w:rPr>
                <w:color w:val="000000" w:themeColor="text1"/>
              </w:rPr>
              <w:t> 3. mācību procesu klātienē 1.-6. un 12. klasē un rotācijas kārtībā 7.-9. un 10.-11. klasē, kā arī individuālās nodarbības profesionālās ievirzes izglītības programmas izglītojamiem var īstenot, nodrošinot epidemioloģiskās drošības prasības un veicot izglītības iestādē klātienē nodarbināto iknedēļas testēšanu, ja kārtējās kalendāra nedēļas otrdienā 14 dienu kumulatīvais Covid-19 gadījumu skaits uz 100 000 iedzīvotāju konkrētās pilsētas vai novada administratīvajā teritorijā, kurā atrodas izglītības iestāde, nepārsniedz 200 un epidemioloģiskie apstākļi liecina par drošāku situāciju administratīvajā teritorijā. Slimību profilakses un kontroles centrs reizi nedēļā ceturtdienās publicē oficiālajā izdevumā "Latvijas Vēstnesis" to pilsētu un novadu sarakstu, kuros atbilstoši Slimību profilakses un kontroles centra tīmekļvietnē trešdienā publicētajai informācijai 14 dienu kumulatīvais saslimstības rādītājs atbilst tādam līmenim, lai īstenotu klātienes mācības 1.-6. un 12. klasē un rotācijas kārtībā 7.-9. un 10.-11. klasē, kā arī individuālās nodarbības profesionālās ievirzes izglītības programmas izglītojamiem. Atsevišķos gadījumos, ievērojot epidemioloģiskos apstākļus, kas mazina Covid-19 izplatīšanās riskus, mācību procesu klātienē 1.-6. un 12. klasē un rotācijas kārtībā 7.-9. un 10.-11. klasē, kā arī individuālās nodarbības profesionālās ievirzes izglītības programmas izglītojamiem var organizēt arī tad, ja 14 dienu kumulatīvais Covid-19 gadījumu skaits uz 100 000 iedzīvotāju pārsniedz 200, bet ne vairāk kā:"</w:t>
            </w:r>
          </w:p>
          <w:p w14:paraId="6DA8D77C" w14:textId="77777777" w:rsidR="00E65BB9" w:rsidRPr="00AC54C2" w:rsidRDefault="00E65BB9" w:rsidP="00E65BB9">
            <w:pPr>
              <w:pStyle w:val="Paraststmeklis"/>
              <w:shd w:val="clear" w:color="auto" w:fill="FFFFFF"/>
              <w:spacing w:before="0" w:beforeAutospacing="0" w:after="0" w:afterAutospacing="0"/>
              <w:rPr>
                <w:color w:val="000000" w:themeColor="text1"/>
              </w:rPr>
            </w:pPr>
          </w:p>
        </w:tc>
      </w:tr>
      <w:tr w:rsidR="00E65BB9" w:rsidRPr="00AC54C2" w14:paraId="17B5502D" w14:textId="77777777" w:rsidTr="00764DC1">
        <w:tc>
          <w:tcPr>
            <w:tcW w:w="8963" w:type="dxa"/>
          </w:tcPr>
          <w:p w14:paraId="28DCC8C4" w14:textId="72C9AE63" w:rsidR="00E65BB9" w:rsidRPr="00AC54C2" w:rsidRDefault="00E65BB9" w:rsidP="00E65BB9">
            <w:pPr>
              <w:pStyle w:val="Paraststmeklis"/>
              <w:shd w:val="clear" w:color="auto" w:fill="FFFFFF"/>
              <w:spacing w:before="0" w:beforeAutospacing="0" w:after="0" w:afterAutospacing="0"/>
              <w:rPr>
                <w:color w:val="000000" w:themeColor="text1"/>
              </w:rPr>
            </w:pPr>
            <w:r w:rsidRPr="00AC54C2">
              <w:rPr>
                <w:color w:val="000000" w:themeColor="text1"/>
              </w:rPr>
              <w:t xml:space="preserve"> izteikt 32.</w:t>
            </w:r>
            <w:r w:rsidRPr="00AC54C2">
              <w:rPr>
                <w:color w:val="000000" w:themeColor="text1"/>
                <w:vertAlign w:val="superscript"/>
              </w:rPr>
              <w:t>7</w:t>
            </w:r>
            <w:r w:rsidRPr="00AC54C2">
              <w:rPr>
                <w:color w:val="000000" w:themeColor="text1"/>
              </w:rPr>
              <w:t> 7. apakšpunktu šādā redakcijā:</w:t>
            </w:r>
          </w:p>
          <w:p w14:paraId="390ECB8A" w14:textId="3E33F577" w:rsidR="00E65BB9" w:rsidRPr="00AC54C2" w:rsidRDefault="00E65BB9" w:rsidP="00E65BB9">
            <w:pPr>
              <w:pStyle w:val="Paraststmeklis"/>
              <w:shd w:val="clear" w:color="auto" w:fill="FFFFFF"/>
              <w:spacing w:before="0" w:beforeAutospacing="0" w:after="0" w:afterAutospacing="0"/>
              <w:rPr>
                <w:color w:val="000000" w:themeColor="text1"/>
              </w:rPr>
            </w:pPr>
            <w:r w:rsidRPr="00AC54C2">
              <w:rPr>
                <w:color w:val="000000" w:themeColor="text1"/>
              </w:rPr>
              <w:t>"32.</w:t>
            </w:r>
            <w:r w:rsidRPr="00AC54C2">
              <w:rPr>
                <w:color w:val="000000" w:themeColor="text1"/>
                <w:vertAlign w:val="superscript"/>
              </w:rPr>
              <w:t>7</w:t>
            </w:r>
            <w:r w:rsidRPr="00AC54C2">
              <w:rPr>
                <w:color w:val="000000" w:themeColor="text1"/>
              </w:rPr>
              <w:t> 7. mācību procesu klātienē izglītības iestādēs, kur klātienes mācību process netiek īstenots atbilstoši šo noteikumu 32.</w:t>
            </w:r>
            <w:r w:rsidRPr="00AC54C2">
              <w:rPr>
                <w:color w:val="000000" w:themeColor="text1"/>
                <w:vertAlign w:val="superscript"/>
              </w:rPr>
              <w:t>7</w:t>
            </w:r>
            <w:r w:rsidRPr="00AC54C2">
              <w:rPr>
                <w:color w:val="000000" w:themeColor="text1"/>
              </w:rPr>
              <w:t xml:space="preserve"> 3. apakšpunktam, izglītojamiem, kuriem 2021. gada </w:t>
            </w:r>
            <w:r w:rsidRPr="00AC54C2">
              <w:rPr>
                <w:color w:val="000000" w:themeColor="text1"/>
              </w:rPr>
              <w:lastRenderedPageBreak/>
              <w:t>pirmajā pusgadā paredzēts kārtot centralizētos eksāmenus, var īstenot ne vairāk kā divas dienas nedēļā tikai tajos mācību priekšmetos, kuros tiek kārtoti centralizētie eksāmeni, veicot izglītības iestādē klātienē nodarbināto un izglītojamo testēšanu;"</w:t>
            </w:r>
          </w:p>
          <w:p w14:paraId="3E107069" w14:textId="77777777" w:rsidR="00E65BB9" w:rsidRPr="00AC54C2" w:rsidRDefault="00E65BB9" w:rsidP="00E65BB9">
            <w:pPr>
              <w:pStyle w:val="Paraststmeklis"/>
              <w:shd w:val="clear" w:color="auto" w:fill="FFFFFF"/>
              <w:spacing w:before="0" w:beforeAutospacing="0" w:after="0" w:afterAutospacing="0"/>
              <w:rPr>
                <w:color w:val="000000" w:themeColor="text1"/>
              </w:rPr>
            </w:pPr>
          </w:p>
        </w:tc>
      </w:tr>
      <w:tr w:rsidR="00E65BB9" w:rsidRPr="00AC54C2" w14:paraId="169BD2CF" w14:textId="77777777" w:rsidTr="00764DC1">
        <w:tc>
          <w:tcPr>
            <w:tcW w:w="8963" w:type="dxa"/>
          </w:tcPr>
          <w:p w14:paraId="760BA38E" w14:textId="77777777" w:rsidR="00E65BB9" w:rsidRPr="00AC54C2" w:rsidRDefault="00E65BB9" w:rsidP="00E65BB9">
            <w:pPr>
              <w:pStyle w:val="Paraststmeklis"/>
              <w:shd w:val="clear" w:color="auto" w:fill="FFFFFF"/>
              <w:spacing w:before="0" w:beforeAutospacing="0" w:after="0" w:afterAutospacing="0"/>
              <w:rPr>
                <w:color w:val="000000" w:themeColor="text1"/>
              </w:rPr>
            </w:pPr>
            <w:r w:rsidRPr="00AC54C2">
              <w:rPr>
                <w:color w:val="000000" w:themeColor="text1"/>
              </w:rPr>
              <w:lastRenderedPageBreak/>
              <w:t>papildināt rīkojumu ar 32.</w:t>
            </w:r>
            <w:r w:rsidRPr="00AC54C2">
              <w:rPr>
                <w:color w:val="000000" w:themeColor="text1"/>
                <w:vertAlign w:val="superscript"/>
              </w:rPr>
              <w:t>7</w:t>
            </w:r>
            <w:r w:rsidRPr="00AC54C2">
              <w:rPr>
                <w:color w:val="000000" w:themeColor="text1"/>
              </w:rPr>
              <w:t> 23. apakšpunktu šādā redakcijā:</w:t>
            </w:r>
          </w:p>
          <w:p w14:paraId="378E7160" w14:textId="77777777" w:rsidR="00E65BB9" w:rsidRPr="00AC54C2" w:rsidRDefault="00E65BB9" w:rsidP="00E65BB9">
            <w:pPr>
              <w:pStyle w:val="Paraststmeklis"/>
              <w:shd w:val="clear" w:color="auto" w:fill="FFFFFF"/>
              <w:spacing w:before="0" w:beforeAutospacing="0" w:after="0" w:afterAutospacing="0"/>
              <w:rPr>
                <w:color w:val="000000" w:themeColor="text1"/>
              </w:rPr>
            </w:pPr>
            <w:r w:rsidRPr="00AC54C2">
              <w:rPr>
                <w:color w:val="000000" w:themeColor="text1"/>
              </w:rPr>
              <w:t>"32.</w:t>
            </w:r>
            <w:r w:rsidRPr="00AC54C2">
              <w:rPr>
                <w:color w:val="000000" w:themeColor="text1"/>
                <w:vertAlign w:val="superscript"/>
              </w:rPr>
              <w:t>7</w:t>
            </w:r>
            <w:r w:rsidRPr="00AC54C2">
              <w:rPr>
                <w:color w:val="000000" w:themeColor="text1"/>
              </w:rPr>
              <w:t> 23. organizējot papildu mācību pasākumus, tai skaitā 10. un 11. klasei, atbilstoši Ministru kabineta 2015. gada 13. oktobra noteikumu Nr. 591 "</w:t>
            </w:r>
            <w:hyperlink r:id="rId7" w:tgtFrame="_blank" w:history="1">
              <w:r w:rsidRPr="007E3F4F">
                <w:rPr>
                  <w:rStyle w:val="Hipersaite"/>
                  <w:color w:val="000000" w:themeColor="text1"/>
                  <w:u w:val="none"/>
                </w:rPr>
                <w:t>Kārtība, kādā izglītojamie tiek uzņemti vispārējās izglītības programmās, speciālajās izglītības iestādēs un speciālajās pirmsskolas izglītības grupās un atskaitīti no tām, kā arī pārcelti uz nākamo klasi</w:t>
              </w:r>
            </w:hyperlink>
            <w:r w:rsidRPr="007E3F4F">
              <w:rPr>
                <w:color w:val="000000" w:themeColor="text1"/>
              </w:rPr>
              <w:t>" </w:t>
            </w:r>
            <w:hyperlink r:id="rId8" w:anchor="p35" w:tgtFrame="_blank" w:history="1">
              <w:r w:rsidRPr="007E3F4F">
                <w:rPr>
                  <w:rStyle w:val="Hipersaite"/>
                  <w:color w:val="000000" w:themeColor="text1"/>
                  <w:u w:val="none"/>
                </w:rPr>
                <w:t>35. punktam</w:t>
              </w:r>
            </w:hyperlink>
            <w:r w:rsidRPr="00AC54C2">
              <w:rPr>
                <w:color w:val="000000" w:themeColor="text1"/>
              </w:rPr>
              <w:t>, papildu mācību pasākumu ilgums nepārsniedz trīs nedēļas.";</w:t>
            </w:r>
          </w:p>
          <w:p w14:paraId="0E3B5E42" w14:textId="77777777" w:rsidR="00E65BB9" w:rsidRPr="00AC54C2" w:rsidRDefault="00E65BB9" w:rsidP="00E65BB9">
            <w:pPr>
              <w:pStyle w:val="Paraststmeklis"/>
              <w:shd w:val="clear" w:color="auto" w:fill="FFFFFF"/>
              <w:spacing w:before="0" w:beforeAutospacing="0" w:after="0" w:afterAutospacing="0"/>
              <w:rPr>
                <w:color w:val="000000" w:themeColor="text1"/>
              </w:rPr>
            </w:pPr>
          </w:p>
        </w:tc>
      </w:tr>
      <w:tr w:rsidR="00E65BB9" w:rsidRPr="00AC54C2" w14:paraId="07938612" w14:textId="77777777" w:rsidTr="00764DC1">
        <w:tc>
          <w:tcPr>
            <w:tcW w:w="8963" w:type="dxa"/>
          </w:tcPr>
          <w:p w14:paraId="57206242" w14:textId="77777777" w:rsidR="00E65BB9" w:rsidRPr="00AC54C2" w:rsidRDefault="00E65BB9" w:rsidP="00E65BB9">
            <w:pPr>
              <w:pStyle w:val="Paraststmeklis"/>
              <w:shd w:val="clear" w:color="auto" w:fill="FFFFFF"/>
              <w:spacing w:before="0" w:beforeAutospacing="0" w:after="0" w:afterAutospacing="0"/>
              <w:rPr>
                <w:color w:val="000000" w:themeColor="text1"/>
              </w:rPr>
            </w:pPr>
            <w:r w:rsidRPr="00AC54C2">
              <w:rPr>
                <w:color w:val="000000" w:themeColor="text1"/>
              </w:rPr>
              <w:t>papildināt VII nodaļu ar 45.</w:t>
            </w:r>
            <w:r w:rsidRPr="00AC54C2">
              <w:rPr>
                <w:color w:val="000000" w:themeColor="text1"/>
                <w:vertAlign w:val="superscript"/>
              </w:rPr>
              <w:t>1</w:t>
            </w:r>
            <w:r w:rsidRPr="00AC54C2">
              <w:rPr>
                <w:color w:val="000000" w:themeColor="text1"/>
              </w:rPr>
              <w:t>, 45.</w:t>
            </w:r>
            <w:r w:rsidRPr="00AC54C2">
              <w:rPr>
                <w:color w:val="000000" w:themeColor="text1"/>
                <w:vertAlign w:val="superscript"/>
              </w:rPr>
              <w:t>2</w:t>
            </w:r>
            <w:r w:rsidRPr="00AC54C2">
              <w:rPr>
                <w:color w:val="000000" w:themeColor="text1"/>
              </w:rPr>
              <w:t> un 45.</w:t>
            </w:r>
            <w:r w:rsidRPr="00AC54C2">
              <w:rPr>
                <w:color w:val="000000" w:themeColor="text1"/>
                <w:vertAlign w:val="superscript"/>
              </w:rPr>
              <w:t>3</w:t>
            </w:r>
            <w:r w:rsidRPr="00AC54C2">
              <w:rPr>
                <w:color w:val="000000" w:themeColor="text1"/>
              </w:rPr>
              <w:t> punktu šādā redakcijā:</w:t>
            </w:r>
          </w:p>
          <w:p w14:paraId="10666F7F" w14:textId="77777777" w:rsidR="00E65BB9" w:rsidRPr="00AC54C2" w:rsidRDefault="00E65BB9" w:rsidP="00E65BB9">
            <w:pPr>
              <w:pStyle w:val="Paraststmeklis"/>
              <w:shd w:val="clear" w:color="auto" w:fill="FFFFFF"/>
              <w:spacing w:before="0" w:beforeAutospacing="0" w:after="0" w:afterAutospacing="0"/>
              <w:rPr>
                <w:color w:val="000000" w:themeColor="text1"/>
              </w:rPr>
            </w:pPr>
            <w:r w:rsidRPr="00AC54C2">
              <w:rPr>
                <w:color w:val="000000" w:themeColor="text1"/>
              </w:rPr>
              <w:t>"45.</w:t>
            </w:r>
            <w:r w:rsidRPr="00AC54C2">
              <w:rPr>
                <w:color w:val="000000" w:themeColor="text1"/>
                <w:vertAlign w:val="superscript"/>
              </w:rPr>
              <w:t>1</w:t>
            </w:r>
            <w:r w:rsidRPr="00AC54C2">
              <w:rPr>
                <w:color w:val="000000" w:themeColor="text1"/>
              </w:rPr>
              <w:t xml:space="preserve"> Covid-19 diagnostikai obligāto rutīnas </w:t>
            </w:r>
            <w:proofErr w:type="spellStart"/>
            <w:r w:rsidRPr="00AC54C2">
              <w:rPr>
                <w:color w:val="000000" w:themeColor="text1"/>
              </w:rPr>
              <w:t>skrīninga</w:t>
            </w:r>
            <w:proofErr w:type="spellEnd"/>
            <w:r w:rsidRPr="00AC54C2">
              <w:rPr>
                <w:color w:val="000000" w:themeColor="text1"/>
              </w:rPr>
              <w:t xml:space="preserve"> testu darba pienākumu veikšanai vai kolektīva apmeklēšanai, ja nav infekcijas slimības pazīmju (izņemot gadījumus, kad Covid-19 testa nepieciešamību ir noteikusi ārstniecības persona vai epidemiologs atbilstoši medicīniskām vai epidemioloģiskām indikācijām), var neveikt:</w:t>
            </w:r>
          </w:p>
          <w:p w14:paraId="44D015BB" w14:textId="77777777" w:rsidR="00E65BB9" w:rsidRPr="00AC54C2" w:rsidRDefault="00E65BB9" w:rsidP="00E65BB9">
            <w:pPr>
              <w:pStyle w:val="Paraststmeklis"/>
              <w:shd w:val="clear" w:color="auto" w:fill="FFFFFF"/>
              <w:spacing w:before="0" w:beforeAutospacing="0" w:after="0" w:afterAutospacing="0"/>
              <w:rPr>
                <w:color w:val="000000" w:themeColor="text1"/>
              </w:rPr>
            </w:pPr>
            <w:r w:rsidRPr="00AC54C2">
              <w:rPr>
                <w:color w:val="000000" w:themeColor="text1"/>
              </w:rPr>
              <w:t>45.</w:t>
            </w:r>
            <w:r w:rsidRPr="00AC54C2">
              <w:rPr>
                <w:color w:val="000000" w:themeColor="text1"/>
                <w:vertAlign w:val="superscript"/>
              </w:rPr>
              <w:t>1</w:t>
            </w:r>
            <w:r w:rsidRPr="00AC54C2">
              <w:rPr>
                <w:color w:val="000000" w:themeColor="text1"/>
              </w:rPr>
              <w:t> 1. persona, kas vakcinēta pret Covid-19, sākot ar piecpadsmito dienu pēc pilna vakcinācijas kursa pabeigšanas ar Eiropas Zāļu aģentūras vai līdzvērtīgu regulatoru reģistrētām vai Pasaules Veselības organizācijas atzītām vakcīnām atbilstoši vakcīnas lietošanas instrukcijai vai sākot ar divdesmit otro dienu līdz deviņdesmitajai dienai pēc vakcīnas "</w:t>
            </w:r>
            <w:proofErr w:type="spellStart"/>
            <w:r w:rsidRPr="00AC54C2">
              <w:rPr>
                <w:color w:val="000000" w:themeColor="text1"/>
              </w:rPr>
              <w:t>Vaxzevria</w:t>
            </w:r>
            <w:proofErr w:type="spellEnd"/>
            <w:r w:rsidRPr="00AC54C2">
              <w:rPr>
                <w:color w:val="000000" w:themeColor="text1"/>
              </w:rPr>
              <w:t>" pirmās devas saņemšanas. Šo personu pienākums ir nedēļas laikā pēc kontakta ar inficēto personu veikt Covid-19 testu un, ja tests ir pozitīvs, ievērot šo noteikumu 54. punktā minētos izolācijas nosacījumus;</w:t>
            </w:r>
          </w:p>
          <w:p w14:paraId="7DDE826B" w14:textId="77777777" w:rsidR="00E65BB9" w:rsidRPr="00AC54C2" w:rsidRDefault="00E65BB9" w:rsidP="00E65BB9">
            <w:pPr>
              <w:pStyle w:val="Paraststmeklis"/>
              <w:shd w:val="clear" w:color="auto" w:fill="FFFFFF"/>
              <w:spacing w:before="0" w:beforeAutospacing="0" w:after="0" w:afterAutospacing="0"/>
              <w:rPr>
                <w:color w:val="000000" w:themeColor="text1"/>
              </w:rPr>
            </w:pPr>
            <w:r w:rsidRPr="00AC54C2">
              <w:rPr>
                <w:color w:val="000000" w:themeColor="text1"/>
              </w:rPr>
              <w:t>45.</w:t>
            </w:r>
            <w:r w:rsidRPr="00AC54C2">
              <w:rPr>
                <w:color w:val="000000" w:themeColor="text1"/>
                <w:vertAlign w:val="superscript"/>
              </w:rPr>
              <w:t>1</w:t>
            </w:r>
            <w:r w:rsidRPr="00AC54C2">
              <w:rPr>
                <w:color w:val="000000" w:themeColor="text1"/>
              </w:rPr>
              <w:t xml:space="preserve"> 2. persona, kura var dokumentāri pierādīt Covid-19 inficēšanās epizodi, sākot ar brīdi, kad ārsts ir pārtraucis personas izolāciju, līdz simt </w:t>
            </w:r>
            <w:proofErr w:type="spellStart"/>
            <w:r w:rsidRPr="00AC54C2">
              <w:rPr>
                <w:color w:val="000000" w:themeColor="text1"/>
              </w:rPr>
              <w:t>astoņdesmitajai</w:t>
            </w:r>
            <w:proofErr w:type="spellEnd"/>
            <w:r w:rsidRPr="00AC54C2">
              <w:rPr>
                <w:color w:val="000000" w:themeColor="text1"/>
              </w:rPr>
              <w:t xml:space="preserve"> dienai pēc parauga ņemšanas datuma, ar kuru laboratoriski tika apstiprināta Covid-19 infekcija, nosakot SARS-CoV-2 vīrusa RNS.</w:t>
            </w:r>
          </w:p>
          <w:p w14:paraId="5C3E3AC1" w14:textId="77777777" w:rsidR="00E65BB9" w:rsidRPr="00AC54C2" w:rsidRDefault="00E65BB9" w:rsidP="00E65BB9">
            <w:pPr>
              <w:pStyle w:val="Paraststmeklis"/>
              <w:shd w:val="clear" w:color="auto" w:fill="FFFFFF"/>
              <w:spacing w:before="0" w:beforeAutospacing="0" w:after="0" w:afterAutospacing="0"/>
              <w:rPr>
                <w:color w:val="000000" w:themeColor="text1"/>
              </w:rPr>
            </w:pPr>
            <w:r w:rsidRPr="00AC54C2">
              <w:rPr>
                <w:color w:val="000000" w:themeColor="text1"/>
              </w:rPr>
              <w:t>45.</w:t>
            </w:r>
            <w:r w:rsidRPr="00AC54C2">
              <w:rPr>
                <w:color w:val="000000" w:themeColor="text1"/>
                <w:vertAlign w:val="superscript"/>
              </w:rPr>
              <w:t>2</w:t>
            </w:r>
            <w:r w:rsidRPr="00AC54C2">
              <w:rPr>
                <w:color w:val="000000" w:themeColor="text1"/>
              </w:rPr>
              <w:t xml:space="preserve"> Centrālā statistikas pārvalde no Slimību profilakses un kontroles centra saņem datus par personām, kas inficētas ar SARS-CoV-2 </w:t>
            </w:r>
            <w:proofErr w:type="spellStart"/>
            <w:r w:rsidRPr="00AC54C2">
              <w:rPr>
                <w:color w:val="000000" w:themeColor="text1"/>
              </w:rPr>
              <w:t>koronavīrusu</w:t>
            </w:r>
            <w:proofErr w:type="spellEnd"/>
            <w:r w:rsidRPr="00AC54C2">
              <w:rPr>
                <w:color w:val="000000" w:themeColor="text1"/>
              </w:rPr>
              <w:t xml:space="preserve">, un veic šo datu apstrādi, apvienojot tos ar Centrālās statistikas pārvaldes rīcībā esošajiem Pilsonības un migrācijas lietu pārvaldes Iedzīvotāju reģistra informācijas sistēmas, Valsts ieņēmumu dienesta, Valsts zemes dienesta Valsts adrešu reģistra informācijas sistēmas, Valsts sociālās apdrošināšanas aģentūras un Nodarbinātības valsts aģentūras datiem par šīm personām, kā arī nodrošina apvienoto datu tūlītēju </w:t>
            </w:r>
            <w:proofErr w:type="spellStart"/>
            <w:r w:rsidRPr="00AC54C2">
              <w:rPr>
                <w:color w:val="000000" w:themeColor="text1"/>
              </w:rPr>
              <w:t>pseidonimizēšanu</w:t>
            </w:r>
            <w:proofErr w:type="spellEnd"/>
            <w:r w:rsidRPr="00AC54C2">
              <w:rPr>
                <w:color w:val="000000" w:themeColor="text1"/>
              </w:rPr>
              <w:t xml:space="preserve">, dzēšot konkrētu personu identificējošos datus (personas kods, vārds, uzvārds), bet saglabājot Slimību profilakses un kontroles centra piešķirtos personu reģistrācijas numurus. Centrālā statistikas pārvalde datu analīzei nodrošina Slimību profilakses un kontroles centram drošu attālinātu piekļuvi izveidotajam </w:t>
            </w:r>
            <w:proofErr w:type="spellStart"/>
            <w:r w:rsidRPr="00AC54C2">
              <w:rPr>
                <w:color w:val="000000" w:themeColor="text1"/>
              </w:rPr>
              <w:t>pseidonimizēto</w:t>
            </w:r>
            <w:proofErr w:type="spellEnd"/>
            <w:r w:rsidRPr="00AC54C2">
              <w:rPr>
                <w:color w:val="000000" w:themeColor="text1"/>
              </w:rPr>
              <w:t xml:space="preserve"> datu masīvam, kurā saglabāts Slimību profilakses un kontroles centra piešķirtais personu reģistrācijas numurs, bet Ekonomikas ministrijai un </w:t>
            </w:r>
            <w:proofErr w:type="spellStart"/>
            <w:r w:rsidRPr="00AC54C2">
              <w:rPr>
                <w:color w:val="000000" w:themeColor="text1"/>
              </w:rPr>
              <w:t>Pārresoru</w:t>
            </w:r>
            <w:proofErr w:type="spellEnd"/>
            <w:r w:rsidRPr="00AC54C2">
              <w:rPr>
                <w:color w:val="000000" w:themeColor="text1"/>
              </w:rPr>
              <w:t xml:space="preserve"> koordinācijas centram drošu attālinātu piekļuvi </w:t>
            </w:r>
            <w:proofErr w:type="spellStart"/>
            <w:r w:rsidRPr="00AC54C2">
              <w:rPr>
                <w:color w:val="000000" w:themeColor="text1"/>
              </w:rPr>
              <w:t>pseidonimizēto</w:t>
            </w:r>
            <w:proofErr w:type="spellEnd"/>
            <w:r w:rsidRPr="00AC54C2">
              <w:rPr>
                <w:color w:val="000000" w:themeColor="text1"/>
              </w:rPr>
              <w:t xml:space="preserve"> datu masīvam, kurā nav saglabāts Slimību profilakses un kontroles centra piešķirtais personu reģistrācijas numurs. Ekonomikas ministrija divu kalendāra nedēļu laikā veic minēto datu analīzi un sagatavoto informāciju regulāri iesniedz starpinstitūciju darbības koordinācijas grupai turpmākajam darbam.</w:t>
            </w:r>
          </w:p>
          <w:p w14:paraId="5A60EFEE" w14:textId="77777777" w:rsidR="00E65BB9" w:rsidRPr="00AC54C2" w:rsidRDefault="00E65BB9" w:rsidP="00E65BB9">
            <w:pPr>
              <w:pStyle w:val="Paraststmeklis"/>
              <w:shd w:val="clear" w:color="auto" w:fill="FFFFFF"/>
              <w:spacing w:before="0" w:beforeAutospacing="0" w:after="0" w:afterAutospacing="0"/>
              <w:rPr>
                <w:color w:val="000000" w:themeColor="text1"/>
              </w:rPr>
            </w:pPr>
            <w:r w:rsidRPr="00AC54C2">
              <w:rPr>
                <w:color w:val="000000" w:themeColor="text1"/>
              </w:rPr>
              <w:t>45.</w:t>
            </w:r>
            <w:r w:rsidRPr="00AC54C2">
              <w:rPr>
                <w:color w:val="000000" w:themeColor="text1"/>
                <w:vertAlign w:val="superscript"/>
              </w:rPr>
              <w:t>3</w:t>
            </w:r>
            <w:r w:rsidRPr="00AC54C2">
              <w:rPr>
                <w:color w:val="000000" w:themeColor="text1"/>
              </w:rPr>
              <w:t xml:space="preserve"> Centrālā statistikas pārvalde nodrošina, ka </w:t>
            </w:r>
            <w:proofErr w:type="spellStart"/>
            <w:r w:rsidRPr="00AC54C2">
              <w:rPr>
                <w:color w:val="000000" w:themeColor="text1"/>
              </w:rPr>
              <w:t>pseidonimizētajā</w:t>
            </w:r>
            <w:proofErr w:type="spellEnd"/>
            <w:r w:rsidRPr="00AC54C2">
              <w:rPr>
                <w:color w:val="000000" w:themeColor="text1"/>
              </w:rPr>
              <w:t xml:space="preserve"> datu masīvā ietvertie dati par personu pēc to iekļaušanas datu masīvā līdz nākamā gada 31. decembrim tiek dzēsti.";</w:t>
            </w:r>
          </w:p>
          <w:p w14:paraId="333B5E0A" w14:textId="77777777" w:rsidR="00E65BB9" w:rsidRPr="00AC54C2" w:rsidRDefault="00E65BB9" w:rsidP="00E65BB9">
            <w:pPr>
              <w:pStyle w:val="Paraststmeklis"/>
              <w:shd w:val="clear" w:color="auto" w:fill="FFFFFF"/>
              <w:spacing w:before="0" w:beforeAutospacing="0" w:after="0" w:afterAutospacing="0"/>
              <w:rPr>
                <w:color w:val="000000" w:themeColor="text1"/>
              </w:rPr>
            </w:pPr>
          </w:p>
        </w:tc>
      </w:tr>
    </w:tbl>
    <w:p w14:paraId="071DD842" w14:textId="155E8814" w:rsidR="00944A8B" w:rsidRPr="00AC54C2" w:rsidRDefault="00944A8B" w:rsidP="00944A8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Šeit ir iekļauti būtiskākie noteikumu grozījumi</w:t>
      </w:r>
      <w:r>
        <w:rPr>
          <w:rFonts w:ascii="Times New Roman" w:hAnsi="Times New Roman" w:cs="Times New Roman"/>
          <w:color w:val="000000" w:themeColor="text1"/>
          <w:sz w:val="24"/>
          <w:szCs w:val="24"/>
        </w:rPr>
        <w:t xml:space="preserve">, kas </w:t>
      </w:r>
      <w:r w:rsidR="00825AEA">
        <w:rPr>
          <w:rFonts w:ascii="Times New Roman" w:hAnsi="Times New Roman" w:cs="Times New Roman"/>
          <w:color w:val="000000" w:themeColor="text1"/>
          <w:sz w:val="24"/>
          <w:szCs w:val="24"/>
        </w:rPr>
        <w:t xml:space="preserve">vairāk </w:t>
      </w:r>
      <w:r>
        <w:rPr>
          <w:rFonts w:ascii="Times New Roman" w:hAnsi="Times New Roman" w:cs="Times New Roman"/>
          <w:color w:val="000000" w:themeColor="text1"/>
          <w:sz w:val="24"/>
          <w:szCs w:val="24"/>
        </w:rPr>
        <w:t>attiecas uz izglītības un kultūras jomu.</w:t>
      </w:r>
    </w:p>
    <w:p w14:paraId="22385A67" w14:textId="097F8B2C" w:rsidR="00764DC1" w:rsidRPr="00AC54C2" w:rsidRDefault="00764DC1" w:rsidP="00D02438">
      <w:pPr>
        <w:pStyle w:val="Paraststmeklis"/>
        <w:shd w:val="clear" w:color="auto" w:fill="FFFFFF"/>
        <w:spacing w:before="0" w:beforeAutospacing="0" w:after="0" w:afterAutospacing="0"/>
        <w:rPr>
          <w:color w:val="000000" w:themeColor="text1"/>
        </w:rPr>
      </w:pPr>
    </w:p>
    <w:sectPr w:rsidR="00764DC1" w:rsidRPr="00AC54C2" w:rsidSect="0077722C">
      <w:pgSz w:w="11906" w:h="16838"/>
      <w:pgMar w:top="851"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24F13"/>
    <w:multiLevelType w:val="multilevel"/>
    <w:tmpl w:val="8C02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F1649"/>
    <w:multiLevelType w:val="multilevel"/>
    <w:tmpl w:val="3E2C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27ADC"/>
    <w:multiLevelType w:val="multilevel"/>
    <w:tmpl w:val="4E70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D51AD"/>
    <w:multiLevelType w:val="multilevel"/>
    <w:tmpl w:val="5C06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B067D"/>
    <w:multiLevelType w:val="multilevel"/>
    <w:tmpl w:val="22849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A7D2C"/>
    <w:multiLevelType w:val="multilevel"/>
    <w:tmpl w:val="8DF6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84D3B"/>
    <w:multiLevelType w:val="multilevel"/>
    <w:tmpl w:val="2A4C1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E62B9"/>
    <w:multiLevelType w:val="multilevel"/>
    <w:tmpl w:val="4560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BB0107"/>
    <w:multiLevelType w:val="hybridMultilevel"/>
    <w:tmpl w:val="55C494F6"/>
    <w:lvl w:ilvl="0" w:tplc="115C4B8A">
      <w:start w:val="2021"/>
      <w:numFmt w:val="bullet"/>
      <w:lvlText w:val=""/>
      <w:lvlJc w:val="left"/>
      <w:pPr>
        <w:ind w:left="1069" w:hanging="360"/>
      </w:pPr>
      <w:rPr>
        <w:rFonts w:ascii="Symbol" w:eastAsia="Times New Roman"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9" w15:restartNumberingAfterBreak="0">
    <w:nsid w:val="1D5D3A55"/>
    <w:multiLevelType w:val="multilevel"/>
    <w:tmpl w:val="0868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FB5F90"/>
    <w:multiLevelType w:val="multilevel"/>
    <w:tmpl w:val="CCF6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2E18BD"/>
    <w:multiLevelType w:val="multilevel"/>
    <w:tmpl w:val="6AEC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CD7046"/>
    <w:multiLevelType w:val="multilevel"/>
    <w:tmpl w:val="E3E2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2671C6"/>
    <w:multiLevelType w:val="multilevel"/>
    <w:tmpl w:val="F2FC3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9408E1"/>
    <w:multiLevelType w:val="multilevel"/>
    <w:tmpl w:val="AF4A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D4507C"/>
    <w:multiLevelType w:val="hybridMultilevel"/>
    <w:tmpl w:val="D0F0301A"/>
    <w:lvl w:ilvl="0" w:tplc="C134796E">
      <w:start w:val="1"/>
      <w:numFmt w:val="decimal"/>
      <w:lvlText w:val="%1)"/>
      <w:lvlJc w:val="left"/>
      <w:pPr>
        <w:ind w:left="720" w:hanging="360"/>
      </w:pPr>
      <w:rPr>
        <w:rFonts w:ascii="Calibri" w:hAnsi="Calibri" w:cs="Calibri"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D8437E"/>
    <w:multiLevelType w:val="multilevel"/>
    <w:tmpl w:val="DC90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8F6B87"/>
    <w:multiLevelType w:val="multilevel"/>
    <w:tmpl w:val="AC36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904B22"/>
    <w:multiLevelType w:val="multilevel"/>
    <w:tmpl w:val="20E0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8368ED"/>
    <w:multiLevelType w:val="hybridMultilevel"/>
    <w:tmpl w:val="BF12BFB2"/>
    <w:lvl w:ilvl="0" w:tplc="212A9A66">
      <w:start w:val="1"/>
      <w:numFmt w:val="decimal"/>
      <w:lvlText w:val="%1)"/>
      <w:lvlJc w:val="left"/>
      <w:pPr>
        <w:ind w:left="927" w:hanging="360"/>
      </w:pPr>
      <w:rPr>
        <w:rFonts w:ascii="Times New Roman" w:hAnsi="Times New Roman" w:cs="Times New Roman" w:hint="default"/>
        <w:color w:val="auto"/>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610A7C5B"/>
    <w:multiLevelType w:val="multilevel"/>
    <w:tmpl w:val="1498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7650E5"/>
    <w:multiLevelType w:val="multilevel"/>
    <w:tmpl w:val="72B0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332CAD"/>
    <w:multiLevelType w:val="hybridMultilevel"/>
    <w:tmpl w:val="C66823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8E25304"/>
    <w:multiLevelType w:val="multilevel"/>
    <w:tmpl w:val="F46C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612B69"/>
    <w:multiLevelType w:val="multilevel"/>
    <w:tmpl w:val="3D72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16"/>
  </w:num>
  <w:num w:numId="4">
    <w:abstractNumId w:val="14"/>
  </w:num>
  <w:num w:numId="5">
    <w:abstractNumId w:val="24"/>
  </w:num>
  <w:num w:numId="6">
    <w:abstractNumId w:val="1"/>
  </w:num>
  <w:num w:numId="7">
    <w:abstractNumId w:val="11"/>
  </w:num>
  <w:num w:numId="8">
    <w:abstractNumId w:val="9"/>
  </w:num>
  <w:num w:numId="9">
    <w:abstractNumId w:val="7"/>
  </w:num>
  <w:num w:numId="10">
    <w:abstractNumId w:val="13"/>
  </w:num>
  <w:num w:numId="11">
    <w:abstractNumId w:val="23"/>
  </w:num>
  <w:num w:numId="12">
    <w:abstractNumId w:val="2"/>
  </w:num>
  <w:num w:numId="13">
    <w:abstractNumId w:val="6"/>
  </w:num>
  <w:num w:numId="14">
    <w:abstractNumId w:val="20"/>
  </w:num>
  <w:num w:numId="15">
    <w:abstractNumId w:val="10"/>
  </w:num>
  <w:num w:numId="16">
    <w:abstractNumId w:val="21"/>
  </w:num>
  <w:num w:numId="17">
    <w:abstractNumId w:val="18"/>
  </w:num>
  <w:num w:numId="18">
    <w:abstractNumId w:val="4"/>
  </w:num>
  <w:num w:numId="19">
    <w:abstractNumId w:val="0"/>
  </w:num>
  <w:num w:numId="20">
    <w:abstractNumId w:val="3"/>
  </w:num>
  <w:num w:numId="21">
    <w:abstractNumId w:val="19"/>
  </w:num>
  <w:num w:numId="22">
    <w:abstractNumId w:val="8"/>
  </w:num>
  <w:num w:numId="23">
    <w:abstractNumId w:val="17"/>
  </w:num>
  <w:num w:numId="24">
    <w:abstractNumId w:val="2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C9"/>
    <w:rsid w:val="00027C9A"/>
    <w:rsid w:val="00044774"/>
    <w:rsid w:val="00045C27"/>
    <w:rsid w:val="00053596"/>
    <w:rsid w:val="000C75A3"/>
    <w:rsid w:val="000E03A4"/>
    <w:rsid w:val="000E3BEB"/>
    <w:rsid w:val="000F6D1E"/>
    <w:rsid w:val="0011354A"/>
    <w:rsid w:val="0012052D"/>
    <w:rsid w:val="00125049"/>
    <w:rsid w:val="0015229F"/>
    <w:rsid w:val="001574B7"/>
    <w:rsid w:val="001679E1"/>
    <w:rsid w:val="00193D0D"/>
    <w:rsid w:val="001E3210"/>
    <w:rsid w:val="001F6510"/>
    <w:rsid w:val="00202B06"/>
    <w:rsid w:val="00202B81"/>
    <w:rsid w:val="002103CE"/>
    <w:rsid w:val="00217122"/>
    <w:rsid w:val="002843F7"/>
    <w:rsid w:val="0029254D"/>
    <w:rsid w:val="002D5942"/>
    <w:rsid w:val="00315838"/>
    <w:rsid w:val="00322FFD"/>
    <w:rsid w:val="00341A43"/>
    <w:rsid w:val="00381619"/>
    <w:rsid w:val="003C22FB"/>
    <w:rsid w:val="003C407E"/>
    <w:rsid w:val="003C6085"/>
    <w:rsid w:val="003D770C"/>
    <w:rsid w:val="00405F33"/>
    <w:rsid w:val="00471FEA"/>
    <w:rsid w:val="00497B33"/>
    <w:rsid w:val="004A6B71"/>
    <w:rsid w:val="004B68F7"/>
    <w:rsid w:val="00523893"/>
    <w:rsid w:val="00526D9E"/>
    <w:rsid w:val="0053483F"/>
    <w:rsid w:val="00577748"/>
    <w:rsid w:val="005A65E4"/>
    <w:rsid w:val="005D0A5D"/>
    <w:rsid w:val="005E4A29"/>
    <w:rsid w:val="00604600"/>
    <w:rsid w:val="00660F9B"/>
    <w:rsid w:val="006643F2"/>
    <w:rsid w:val="00687C7C"/>
    <w:rsid w:val="00692450"/>
    <w:rsid w:val="006A3DC7"/>
    <w:rsid w:val="006C1A4C"/>
    <w:rsid w:val="006E4A3C"/>
    <w:rsid w:val="006F31C9"/>
    <w:rsid w:val="00764DC1"/>
    <w:rsid w:val="00776476"/>
    <w:rsid w:val="0077722C"/>
    <w:rsid w:val="007A768E"/>
    <w:rsid w:val="007B1AE6"/>
    <w:rsid w:val="007B52A2"/>
    <w:rsid w:val="007E37FE"/>
    <w:rsid w:val="007E3F4F"/>
    <w:rsid w:val="007E5641"/>
    <w:rsid w:val="008144C1"/>
    <w:rsid w:val="00820A5B"/>
    <w:rsid w:val="00822F83"/>
    <w:rsid w:val="00823648"/>
    <w:rsid w:val="00825AEA"/>
    <w:rsid w:val="008279F2"/>
    <w:rsid w:val="00874744"/>
    <w:rsid w:val="008B5106"/>
    <w:rsid w:val="008D190A"/>
    <w:rsid w:val="008D4456"/>
    <w:rsid w:val="00944A8B"/>
    <w:rsid w:val="009450D9"/>
    <w:rsid w:val="00971F83"/>
    <w:rsid w:val="009B12DE"/>
    <w:rsid w:val="009B2096"/>
    <w:rsid w:val="009D6CB0"/>
    <w:rsid w:val="009E797F"/>
    <w:rsid w:val="00A00A7F"/>
    <w:rsid w:val="00A3358A"/>
    <w:rsid w:val="00A34DD8"/>
    <w:rsid w:val="00A51310"/>
    <w:rsid w:val="00A6725F"/>
    <w:rsid w:val="00A85730"/>
    <w:rsid w:val="00AA6CC9"/>
    <w:rsid w:val="00AB3EA7"/>
    <w:rsid w:val="00AC43CB"/>
    <w:rsid w:val="00AC54C2"/>
    <w:rsid w:val="00AD2C42"/>
    <w:rsid w:val="00AF506F"/>
    <w:rsid w:val="00B33184"/>
    <w:rsid w:val="00B43892"/>
    <w:rsid w:val="00B52F42"/>
    <w:rsid w:val="00B578DB"/>
    <w:rsid w:val="00B83A5D"/>
    <w:rsid w:val="00B922EE"/>
    <w:rsid w:val="00BE29AA"/>
    <w:rsid w:val="00C51325"/>
    <w:rsid w:val="00C62263"/>
    <w:rsid w:val="00C70383"/>
    <w:rsid w:val="00C73822"/>
    <w:rsid w:val="00C9318A"/>
    <w:rsid w:val="00CB4CBC"/>
    <w:rsid w:val="00CE6FE3"/>
    <w:rsid w:val="00CE7095"/>
    <w:rsid w:val="00D02438"/>
    <w:rsid w:val="00D1636B"/>
    <w:rsid w:val="00D200D8"/>
    <w:rsid w:val="00D43451"/>
    <w:rsid w:val="00D56197"/>
    <w:rsid w:val="00D56E1F"/>
    <w:rsid w:val="00D832D7"/>
    <w:rsid w:val="00DA6863"/>
    <w:rsid w:val="00DB2D9A"/>
    <w:rsid w:val="00DE016F"/>
    <w:rsid w:val="00E65BB9"/>
    <w:rsid w:val="00E844AA"/>
    <w:rsid w:val="00E848CB"/>
    <w:rsid w:val="00EA6842"/>
    <w:rsid w:val="00EB6118"/>
    <w:rsid w:val="00EC4DF4"/>
    <w:rsid w:val="00F2441A"/>
    <w:rsid w:val="00F30E55"/>
    <w:rsid w:val="00F32388"/>
    <w:rsid w:val="00F921AC"/>
    <w:rsid w:val="00FA49D2"/>
    <w:rsid w:val="00FB53F8"/>
    <w:rsid w:val="00FC3F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5AB66"/>
  <w15:chartTrackingRefBased/>
  <w15:docId w15:val="{9AC73D68-2947-4604-824C-AA4251B1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3DC7"/>
    <w:pPr>
      <w:spacing w:after="0" w:line="240" w:lineRule="auto"/>
    </w:pPr>
    <w:rPr>
      <w:rFonts w:ascii="Calibri" w:hAnsi="Calibri" w:cs="Calibri"/>
    </w:rPr>
  </w:style>
  <w:style w:type="paragraph" w:styleId="Virsraksts3">
    <w:name w:val="heading 3"/>
    <w:basedOn w:val="Parasts"/>
    <w:link w:val="Virsraksts3Rakstz"/>
    <w:uiPriority w:val="9"/>
    <w:qFormat/>
    <w:rsid w:val="004A6B71"/>
    <w:pPr>
      <w:spacing w:before="100" w:beforeAutospacing="1" w:after="100" w:afterAutospacing="1"/>
      <w:outlineLvl w:val="2"/>
    </w:pPr>
    <w:rPr>
      <w:rFonts w:ascii="Times New Roman" w:eastAsia="Times New Roman" w:hAnsi="Times New Roman" w:cs="Times New Roman"/>
      <w:b/>
      <w:bCs/>
      <w:sz w:val="27"/>
      <w:szCs w:val="27"/>
      <w:lang w:eastAsia="lv-LV"/>
    </w:rPr>
  </w:style>
  <w:style w:type="paragraph" w:styleId="Virsraksts4">
    <w:name w:val="heading 4"/>
    <w:basedOn w:val="Parasts"/>
    <w:next w:val="Parasts"/>
    <w:link w:val="Virsraksts4Rakstz"/>
    <w:uiPriority w:val="9"/>
    <w:unhideWhenUsed/>
    <w:qFormat/>
    <w:rsid w:val="00A6725F"/>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4A6B71"/>
    <w:rPr>
      <w:rFonts w:ascii="Times New Roman" w:eastAsia="Times New Roman" w:hAnsi="Times New Roman" w:cs="Times New Roman"/>
      <w:b/>
      <w:bCs/>
      <w:sz w:val="27"/>
      <w:szCs w:val="27"/>
      <w:lang w:eastAsia="lv-LV"/>
    </w:rPr>
  </w:style>
  <w:style w:type="character" w:styleId="Hipersaite">
    <w:name w:val="Hyperlink"/>
    <w:basedOn w:val="Noklusjumarindkopasfonts"/>
    <w:uiPriority w:val="99"/>
    <w:semiHidden/>
    <w:unhideWhenUsed/>
    <w:rsid w:val="004A6B71"/>
    <w:rPr>
      <w:color w:val="0000FF"/>
      <w:u w:val="single"/>
    </w:rPr>
  </w:style>
  <w:style w:type="character" w:styleId="Izteiksmgs">
    <w:name w:val="Strong"/>
    <w:basedOn w:val="Noklusjumarindkopasfonts"/>
    <w:uiPriority w:val="22"/>
    <w:qFormat/>
    <w:rsid w:val="00577748"/>
    <w:rPr>
      <w:b w:val="0"/>
      <w:bCs w:val="0"/>
    </w:rPr>
  </w:style>
  <w:style w:type="paragraph" w:styleId="Paraststmeklis">
    <w:name w:val="Normal (Web)"/>
    <w:basedOn w:val="Parasts"/>
    <w:uiPriority w:val="99"/>
    <w:unhideWhenUsed/>
    <w:rsid w:val="00577748"/>
    <w:pPr>
      <w:spacing w:before="100" w:beforeAutospacing="1" w:after="100" w:afterAutospacing="1"/>
    </w:pPr>
    <w:rPr>
      <w:rFonts w:ascii="Times New Roman" w:eastAsia="Times New Roman" w:hAnsi="Times New Roman" w:cs="Times New Roman"/>
      <w:sz w:val="24"/>
      <w:szCs w:val="24"/>
      <w:lang w:eastAsia="lv-LV"/>
    </w:rPr>
  </w:style>
  <w:style w:type="paragraph" w:customStyle="1" w:styleId="text-align-justify">
    <w:name w:val="text-align-justify"/>
    <w:basedOn w:val="Parasts"/>
    <w:rsid w:val="00577748"/>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Virsraksts4Rakstz">
    <w:name w:val="Virsraksts 4 Rakstz."/>
    <w:basedOn w:val="Noklusjumarindkopasfonts"/>
    <w:link w:val="Virsraksts4"/>
    <w:uiPriority w:val="9"/>
    <w:rsid w:val="00A6725F"/>
    <w:rPr>
      <w:rFonts w:asciiTheme="majorHAnsi" w:eastAsiaTheme="majorEastAsia" w:hAnsiTheme="majorHAnsi" w:cstheme="majorBidi"/>
      <w:i/>
      <w:iCs/>
      <w:color w:val="2F5496" w:themeColor="accent1" w:themeShade="BF"/>
    </w:rPr>
  </w:style>
  <w:style w:type="paragraph" w:styleId="Sarakstarindkopa">
    <w:name w:val="List Paragraph"/>
    <w:basedOn w:val="Parasts"/>
    <w:uiPriority w:val="34"/>
    <w:qFormat/>
    <w:rsid w:val="00125049"/>
    <w:pPr>
      <w:spacing w:after="160" w:line="259" w:lineRule="auto"/>
      <w:ind w:left="720"/>
      <w:contextualSpacing/>
    </w:pPr>
    <w:rPr>
      <w:rFonts w:asciiTheme="minorHAnsi" w:hAnsiTheme="minorHAnsi" w:cstheme="minorBidi"/>
    </w:rPr>
  </w:style>
  <w:style w:type="paragraph" w:customStyle="1" w:styleId="liknoteik">
    <w:name w:val="lik_noteik"/>
    <w:basedOn w:val="Parasts"/>
    <w:rsid w:val="00A51310"/>
    <w:pPr>
      <w:spacing w:before="100" w:beforeAutospacing="1" w:after="100" w:afterAutospacing="1"/>
    </w:pPr>
    <w:rPr>
      <w:rFonts w:ascii="Times New Roman" w:eastAsia="Times New Roman" w:hAnsi="Times New Roman" w:cs="Times New Roman"/>
      <w:sz w:val="24"/>
      <w:szCs w:val="24"/>
      <w:lang w:eastAsia="lv-LV"/>
    </w:rPr>
  </w:style>
  <w:style w:type="paragraph" w:customStyle="1" w:styleId="likdat">
    <w:name w:val="lik_dat"/>
    <w:basedOn w:val="Parasts"/>
    <w:rsid w:val="00A51310"/>
    <w:pPr>
      <w:spacing w:before="100" w:beforeAutospacing="1" w:after="100" w:afterAutospacing="1"/>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6E4A3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E4A3C"/>
    <w:rPr>
      <w:rFonts w:ascii="Segoe UI" w:hAnsi="Segoe UI" w:cs="Segoe UI"/>
      <w:sz w:val="18"/>
      <w:szCs w:val="18"/>
    </w:rPr>
  </w:style>
  <w:style w:type="paragraph" w:customStyle="1" w:styleId="tv213">
    <w:name w:val="tv213"/>
    <w:basedOn w:val="Parasts"/>
    <w:rsid w:val="0011354A"/>
    <w:pPr>
      <w:spacing w:before="100" w:beforeAutospacing="1" w:after="100" w:afterAutospacing="1"/>
    </w:pPr>
    <w:rPr>
      <w:rFonts w:ascii="Times New Roman" w:eastAsia="Times New Roman" w:hAnsi="Times New Roman" w:cs="Times New Roman"/>
      <w:sz w:val="24"/>
      <w:szCs w:val="24"/>
      <w:lang w:eastAsia="lv-LV"/>
    </w:rPr>
  </w:style>
  <w:style w:type="table" w:styleId="Reatabula">
    <w:name w:val="Table Grid"/>
    <w:basedOn w:val="Parastatabula"/>
    <w:uiPriority w:val="39"/>
    <w:rsid w:val="003C4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80647">
      <w:bodyDiv w:val="1"/>
      <w:marLeft w:val="0"/>
      <w:marRight w:val="0"/>
      <w:marTop w:val="0"/>
      <w:marBottom w:val="0"/>
      <w:divBdr>
        <w:top w:val="none" w:sz="0" w:space="0" w:color="auto"/>
        <w:left w:val="none" w:sz="0" w:space="0" w:color="auto"/>
        <w:bottom w:val="none" w:sz="0" w:space="0" w:color="auto"/>
        <w:right w:val="none" w:sz="0" w:space="0" w:color="auto"/>
      </w:divBdr>
    </w:div>
    <w:div w:id="160854143">
      <w:bodyDiv w:val="1"/>
      <w:marLeft w:val="0"/>
      <w:marRight w:val="0"/>
      <w:marTop w:val="0"/>
      <w:marBottom w:val="0"/>
      <w:divBdr>
        <w:top w:val="none" w:sz="0" w:space="0" w:color="auto"/>
        <w:left w:val="none" w:sz="0" w:space="0" w:color="auto"/>
        <w:bottom w:val="none" w:sz="0" w:space="0" w:color="auto"/>
        <w:right w:val="none" w:sz="0" w:space="0" w:color="auto"/>
      </w:divBdr>
    </w:div>
    <w:div w:id="192615290">
      <w:bodyDiv w:val="1"/>
      <w:marLeft w:val="0"/>
      <w:marRight w:val="0"/>
      <w:marTop w:val="0"/>
      <w:marBottom w:val="0"/>
      <w:divBdr>
        <w:top w:val="none" w:sz="0" w:space="0" w:color="auto"/>
        <w:left w:val="none" w:sz="0" w:space="0" w:color="auto"/>
        <w:bottom w:val="none" w:sz="0" w:space="0" w:color="auto"/>
        <w:right w:val="none" w:sz="0" w:space="0" w:color="auto"/>
      </w:divBdr>
    </w:div>
    <w:div w:id="249777143">
      <w:bodyDiv w:val="1"/>
      <w:marLeft w:val="0"/>
      <w:marRight w:val="0"/>
      <w:marTop w:val="0"/>
      <w:marBottom w:val="0"/>
      <w:divBdr>
        <w:top w:val="none" w:sz="0" w:space="0" w:color="auto"/>
        <w:left w:val="none" w:sz="0" w:space="0" w:color="auto"/>
        <w:bottom w:val="none" w:sz="0" w:space="0" w:color="auto"/>
        <w:right w:val="none" w:sz="0" w:space="0" w:color="auto"/>
      </w:divBdr>
    </w:div>
    <w:div w:id="338240681">
      <w:bodyDiv w:val="1"/>
      <w:marLeft w:val="0"/>
      <w:marRight w:val="0"/>
      <w:marTop w:val="0"/>
      <w:marBottom w:val="0"/>
      <w:divBdr>
        <w:top w:val="none" w:sz="0" w:space="0" w:color="auto"/>
        <w:left w:val="none" w:sz="0" w:space="0" w:color="auto"/>
        <w:bottom w:val="none" w:sz="0" w:space="0" w:color="auto"/>
        <w:right w:val="none" w:sz="0" w:space="0" w:color="auto"/>
      </w:divBdr>
    </w:div>
    <w:div w:id="345139550">
      <w:bodyDiv w:val="1"/>
      <w:marLeft w:val="0"/>
      <w:marRight w:val="0"/>
      <w:marTop w:val="0"/>
      <w:marBottom w:val="0"/>
      <w:divBdr>
        <w:top w:val="none" w:sz="0" w:space="0" w:color="auto"/>
        <w:left w:val="none" w:sz="0" w:space="0" w:color="auto"/>
        <w:bottom w:val="none" w:sz="0" w:space="0" w:color="auto"/>
        <w:right w:val="none" w:sz="0" w:space="0" w:color="auto"/>
      </w:divBdr>
    </w:div>
    <w:div w:id="489715788">
      <w:bodyDiv w:val="1"/>
      <w:marLeft w:val="0"/>
      <w:marRight w:val="0"/>
      <w:marTop w:val="0"/>
      <w:marBottom w:val="0"/>
      <w:divBdr>
        <w:top w:val="none" w:sz="0" w:space="0" w:color="auto"/>
        <w:left w:val="none" w:sz="0" w:space="0" w:color="auto"/>
        <w:bottom w:val="none" w:sz="0" w:space="0" w:color="auto"/>
        <w:right w:val="none" w:sz="0" w:space="0" w:color="auto"/>
      </w:divBdr>
    </w:div>
    <w:div w:id="499927992">
      <w:bodyDiv w:val="1"/>
      <w:marLeft w:val="0"/>
      <w:marRight w:val="0"/>
      <w:marTop w:val="0"/>
      <w:marBottom w:val="0"/>
      <w:divBdr>
        <w:top w:val="none" w:sz="0" w:space="0" w:color="auto"/>
        <w:left w:val="none" w:sz="0" w:space="0" w:color="auto"/>
        <w:bottom w:val="none" w:sz="0" w:space="0" w:color="auto"/>
        <w:right w:val="none" w:sz="0" w:space="0" w:color="auto"/>
      </w:divBdr>
    </w:div>
    <w:div w:id="632440313">
      <w:bodyDiv w:val="1"/>
      <w:marLeft w:val="0"/>
      <w:marRight w:val="0"/>
      <w:marTop w:val="0"/>
      <w:marBottom w:val="0"/>
      <w:divBdr>
        <w:top w:val="none" w:sz="0" w:space="0" w:color="auto"/>
        <w:left w:val="none" w:sz="0" w:space="0" w:color="auto"/>
        <w:bottom w:val="none" w:sz="0" w:space="0" w:color="auto"/>
        <w:right w:val="none" w:sz="0" w:space="0" w:color="auto"/>
      </w:divBdr>
    </w:div>
    <w:div w:id="678191389">
      <w:bodyDiv w:val="1"/>
      <w:marLeft w:val="0"/>
      <w:marRight w:val="0"/>
      <w:marTop w:val="0"/>
      <w:marBottom w:val="0"/>
      <w:divBdr>
        <w:top w:val="none" w:sz="0" w:space="0" w:color="auto"/>
        <w:left w:val="none" w:sz="0" w:space="0" w:color="auto"/>
        <w:bottom w:val="none" w:sz="0" w:space="0" w:color="auto"/>
        <w:right w:val="none" w:sz="0" w:space="0" w:color="auto"/>
      </w:divBdr>
    </w:div>
    <w:div w:id="701126849">
      <w:bodyDiv w:val="1"/>
      <w:marLeft w:val="0"/>
      <w:marRight w:val="0"/>
      <w:marTop w:val="0"/>
      <w:marBottom w:val="0"/>
      <w:divBdr>
        <w:top w:val="none" w:sz="0" w:space="0" w:color="auto"/>
        <w:left w:val="none" w:sz="0" w:space="0" w:color="auto"/>
        <w:bottom w:val="none" w:sz="0" w:space="0" w:color="auto"/>
        <w:right w:val="none" w:sz="0" w:space="0" w:color="auto"/>
      </w:divBdr>
    </w:div>
    <w:div w:id="713848921">
      <w:bodyDiv w:val="1"/>
      <w:marLeft w:val="0"/>
      <w:marRight w:val="0"/>
      <w:marTop w:val="0"/>
      <w:marBottom w:val="0"/>
      <w:divBdr>
        <w:top w:val="none" w:sz="0" w:space="0" w:color="auto"/>
        <w:left w:val="none" w:sz="0" w:space="0" w:color="auto"/>
        <w:bottom w:val="none" w:sz="0" w:space="0" w:color="auto"/>
        <w:right w:val="none" w:sz="0" w:space="0" w:color="auto"/>
      </w:divBdr>
    </w:div>
    <w:div w:id="721095837">
      <w:bodyDiv w:val="1"/>
      <w:marLeft w:val="0"/>
      <w:marRight w:val="0"/>
      <w:marTop w:val="0"/>
      <w:marBottom w:val="0"/>
      <w:divBdr>
        <w:top w:val="none" w:sz="0" w:space="0" w:color="auto"/>
        <w:left w:val="none" w:sz="0" w:space="0" w:color="auto"/>
        <w:bottom w:val="none" w:sz="0" w:space="0" w:color="auto"/>
        <w:right w:val="none" w:sz="0" w:space="0" w:color="auto"/>
      </w:divBdr>
    </w:div>
    <w:div w:id="788470542">
      <w:bodyDiv w:val="1"/>
      <w:marLeft w:val="0"/>
      <w:marRight w:val="0"/>
      <w:marTop w:val="0"/>
      <w:marBottom w:val="0"/>
      <w:divBdr>
        <w:top w:val="none" w:sz="0" w:space="0" w:color="auto"/>
        <w:left w:val="none" w:sz="0" w:space="0" w:color="auto"/>
        <w:bottom w:val="none" w:sz="0" w:space="0" w:color="auto"/>
        <w:right w:val="none" w:sz="0" w:space="0" w:color="auto"/>
      </w:divBdr>
    </w:div>
    <w:div w:id="789251540">
      <w:bodyDiv w:val="1"/>
      <w:marLeft w:val="0"/>
      <w:marRight w:val="0"/>
      <w:marTop w:val="0"/>
      <w:marBottom w:val="0"/>
      <w:divBdr>
        <w:top w:val="none" w:sz="0" w:space="0" w:color="auto"/>
        <w:left w:val="none" w:sz="0" w:space="0" w:color="auto"/>
        <w:bottom w:val="none" w:sz="0" w:space="0" w:color="auto"/>
        <w:right w:val="none" w:sz="0" w:space="0" w:color="auto"/>
      </w:divBdr>
    </w:div>
    <w:div w:id="813106163">
      <w:bodyDiv w:val="1"/>
      <w:marLeft w:val="0"/>
      <w:marRight w:val="0"/>
      <w:marTop w:val="0"/>
      <w:marBottom w:val="0"/>
      <w:divBdr>
        <w:top w:val="none" w:sz="0" w:space="0" w:color="auto"/>
        <w:left w:val="none" w:sz="0" w:space="0" w:color="auto"/>
        <w:bottom w:val="none" w:sz="0" w:space="0" w:color="auto"/>
        <w:right w:val="none" w:sz="0" w:space="0" w:color="auto"/>
      </w:divBdr>
    </w:div>
    <w:div w:id="831070144">
      <w:bodyDiv w:val="1"/>
      <w:marLeft w:val="0"/>
      <w:marRight w:val="0"/>
      <w:marTop w:val="0"/>
      <w:marBottom w:val="0"/>
      <w:divBdr>
        <w:top w:val="none" w:sz="0" w:space="0" w:color="auto"/>
        <w:left w:val="none" w:sz="0" w:space="0" w:color="auto"/>
        <w:bottom w:val="none" w:sz="0" w:space="0" w:color="auto"/>
        <w:right w:val="none" w:sz="0" w:space="0" w:color="auto"/>
      </w:divBdr>
    </w:div>
    <w:div w:id="936716693">
      <w:bodyDiv w:val="1"/>
      <w:marLeft w:val="0"/>
      <w:marRight w:val="0"/>
      <w:marTop w:val="0"/>
      <w:marBottom w:val="0"/>
      <w:divBdr>
        <w:top w:val="none" w:sz="0" w:space="0" w:color="auto"/>
        <w:left w:val="none" w:sz="0" w:space="0" w:color="auto"/>
        <w:bottom w:val="none" w:sz="0" w:space="0" w:color="auto"/>
        <w:right w:val="none" w:sz="0" w:space="0" w:color="auto"/>
      </w:divBdr>
    </w:div>
    <w:div w:id="1023048320">
      <w:bodyDiv w:val="1"/>
      <w:marLeft w:val="0"/>
      <w:marRight w:val="0"/>
      <w:marTop w:val="0"/>
      <w:marBottom w:val="0"/>
      <w:divBdr>
        <w:top w:val="none" w:sz="0" w:space="0" w:color="auto"/>
        <w:left w:val="none" w:sz="0" w:space="0" w:color="auto"/>
        <w:bottom w:val="none" w:sz="0" w:space="0" w:color="auto"/>
        <w:right w:val="none" w:sz="0" w:space="0" w:color="auto"/>
      </w:divBdr>
    </w:div>
    <w:div w:id="1164710189">
      <w:bodyDiv w:val="1"/>
      <w:marLeft w:val="0"/>
      <w:marRight w:val="0"/>
      <w:marTop w:val="0"/>
      <w:marBottom w:val="0"/>
      <w:divBdr>
        <w:top w:val="none" w:sz="0" w:space="0" w:color="auto"/>
        <w:left w:val="none" w:sz="0" w:space="0" w:color="auto"/>
        <w:bottom w:val="none" w:sz="0" w:space="0" w:color="auto"/>
        <w:right w:val="none" w:sz="0" w:space="0" w:color="auto"/>
      </w:divBdr>
    </w:div>
    <w:div w:id="1178423499">
      <w:bodyDiv w:val="1"/>
      <w:marLeft w:val="0"/>
      <w:marRight w:val="0"/>
      <w:marTop w:val="0"/>
      <w:marBottom w:val="0"/>
      <w:divBdr>
        <w:top w:val="none" w:sz="0" w:space="0" w:color="auto"/>
        <w:left w:val="none" w:sz="0" w:space="0" w:color="auto"/>
        <w:bottom w:val="none" w:sz="0" w:space="0" w:color="auto"/>
        <w:right w:val="none" w:sz="0" w:space="0" w:color="auto"/>
      </w:divBdr>
      <w:divsChild>
        <w:div w:id="1226842559">
          <w:marLeft w:val="0"/>
          <w:marRight w:val="0"/>
          <w:marTop w:val="0"/>
          <w:marBottom w:val="0"/>
          <w:divBdr>
            <w:top w:val="none" w:sz="0" w:space="0" w:color="auto"/>
            <w:left w:val="none" w:sz="0" w:space="0" w:color="auto"/>
            <w:bottom w:val="none" w:sz="0" w:space="0" w:color="auto"/>
            <w:right w:val="none" w:sz="0" w:space="0" w:color="auto"/>
          </w:divBdr>
          <w:divsChild>
            <w:div w:id="1676373632">
              <w:marLeft w:val="0"/>
              <w:marRight w:val="0"/>
              <w:marTop w:val="0"/>
              <w:marBottom w:val="0"/>
              <w:divBdr>
                <w:top w:val="none" w:sz="0" w:space="0" w:color="auto"/>
                <w:left w:val="none" w:sz="0" w:space="0" w:color="auto"/>
                <w:bottom w:val="none" w:sz="0" w:space="0" w:color="auto"/>
                <w:right w:val="none" w:sz="0" w:space="0" w:color="auto"/>
              </w:divBdr>
            </w:div>
          </w:divsChild>
        </w:div>
        <w:div w:id="1055616473">
          <w:marLeft w:val="0"/>
          <w:marRight w:val="0"/>
          <w:marTop w:val="0"/>
          <w:marBottom w:val="0"/>
          <w:divBdr>
            <w:top w:val="none" w:sz="0" w:space="0" w:color="auto"/>
            <w:left w:val="none" w:sz="0" w:space="0" w:color="auto"/>
            <w:bottom w:val="none" w:sz="0" w:space="0" w:color="auto"/>
            <w:right w:val="none" w:sz="0" w:space="0" w:color="auto"/>
          </w:divBdr>
          <w:divsChild>
            <w:div w:id="61960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5007">
      <w:bodyDiv w:val="1"/>
      <w:marLeft w:val="0"/>
      <w:marRight w:val="0"/>
      <w:marTop w:val="0"/>
      <w:marBottom w:val="0"/>
      <w:divBdr>
        <w:top w:val="none" w:sz="0" w:space="0" w:color="auto"/>
        <w:left w:val="none" w:sz="0" w:space="0" w:color="auto"/>
        <w:bottom w:val="none" w:sz="0" w:space="0" w:color="auto"/>
        <w:right w:val="none" w:sz="0" w:space="0" w:color="auto"/>
      </w:divBdr>
    </w:div>
    <w:div w:id="1273316833">
      <w:bodyDiv w:val="1"/>
      <w:marLeft w:val="0"/>
      <w:marRight w:val="0"/>
      <w:marTop w:val="0"/>
      <w:marBottom w:val="0"/>
      <w:divBdr>
        <w:top w:val="none" w:sz="0" w:space="0" w:color="auto"/>
        <w:left w:val="none" w:sz="0" w:space="0" w:color="auto"/>
        <w:bottom w:val="none" w:sz="0" w:space="0" w:color="auto"/>
        <w:right w:val="none" w:sz="0" w:space="0" w:color="auto"/>
      </w:divBdr>
    </w:div>
    <w:div w:id="1277450117">
      <w:bodyDiv w:val="1"/>
      <w:marLeft w:val="0"/>
      <w:marRight w:val="0"/>
      <w:marTop w:val="0"/>
      <w:marBottom w:val="0"/>
      <w:divBdr>
        <w:top w:val="none" w:sz="0" w:space="0" w:color="auto"/>
        <w:left w:val="none" w:sz="0" w:space="0" w:color="auto"/>
        <w:bottom w:val="none" w:sz="0" w:space="0" w:color="auto"/>
        <w:right w:val="none" w:sz="0" w:space="0" w:color="auto"/>
      </w:divBdr>
    </w:div>
    <w:div w:id="1459488987">
      <w:bodyDiv w:val="1"/>
      <w:marLeft w:val="0"/>
      <w:marRight w:val="0"/>
      <w:marTop w:val="0"/>
      <w:marBottom w:val="0"/>
      <w:divBdr>
        <w:top w:val="none" w:sz="0" w:space="0" w:color="auto"/>
        <w:left w:val="none" w:sz="0" w:space="0" w:color="auto"/>
        <w:bottom w:val="none" w:sz="0" w:space="0" w:color="auto"/>
        <w:right w:val="none" w:sz="0" w:space="0" w:color="auto"/>
      </w:divBdr>
    </w:div>
    <w:div w:id="1480462930">
      <w:bodyDiv w:val="1"/>
      <w:marLeft w:val="0"/>
      <w:marRight w:val="0"/>
      <w:marTop w:val="0"/>
      <w:marBottom w:val="0"/>
      <w:divBdr>
        <w:top w:val="none" w:sz="0" w:space="0" w:color="auto"/>
        <w:left w:val="none" w:sz="0" w:space="0" w:color="auto"/>
        <w:bottom w:val="none" w:sz="0" w:space="0" w:color="auto"/>
        <w:right w:val="none" w:sz="0" w:space="0" w:color="auto"/>
      </w:divBdr>
    </w:div>
    <w:div w:id="1525901003">
      <w:bodyDiv w:val="1"/>
      <w:marLeft w:val="0"/>
      <w:marRight w:val="0"/>
      <w:marTop w:val="0"/>
      <w:marBottom w:val="0"/>
      <w:divBdr>
        <w:top w:val="none" w:sz="0" w:space="0" w:color="auto"/>
        <w:left w:val="none" w:sz="0" w:space="0" w:color="auto"/>
        <w:bottom w:val="none" w:sz="0" w:space="0" w:color="auto"/>
        <w:right w:val="none" w:sz="0" w:space="0" w:color="auto"/>
      </w:divBdr>
    </w:div>
    <w:div w:id="1603369230">
      <w:bodyDiv w:val="1"/>
      <w:marLeft w:val="0"/>
      <w:marRight w:val="0"/>
      <w:marTop w:val="0"/>
      <w:marBottom w:val="0"/>
      <w:divBdr>
        <w:top w:val="none" w:sz="0" w:space="0" w:color="auto"/>
        <w:left w:val="none" w:sz="0" w:space="0" w:color="auto"/>
        <w:bottom w:val="none" w:sz="0" w:space="0" w:color="auto"/>
        <w:right w:val="none" w:sz="0" w:space="0" w:color="auto"/>
      </w:divBdr>
    </w:div>
    <w:div w:id="1625425013">
      <w:bodyDiv w:val="1"/>
      <w:marLeft w:val="0"/>
      <w:marRight w:val="0"/>
      <w:marTop w:val="0"/>
      <w:marBottom w:val="0"/>
      <w:divBdr>
        <w:top w:val="none" w:sz="0" w:space="0" w:color="auto"/>
        <w:left w:val="none" w:sz="0" w:space="0" w:color="auto"/>
        <w:bottom w:val="none" w:sz="0" w:space="0" w:color="auto"/>
        <w:right w:val="none" w:sz="0" w:space="0" w:color="auto"/>
      </w:divBdr>
    </w:div>
    <w:div w:id="1649742344">
      <w:bodyDiv w:val="1"/>
      <w:marLeft w:val="0"/>
      <w:marRight w:val="0"/>
      <w:marTop w:val="0"/>
      <w:marBottom w:val="0"/>
      <w:divBdr>
        <w:top w:val="none" w:sz="0" w:space="0" w:color="auto"/>
        <w:left w:val="none" w:sz="0" w:space="0" w:color="auto"/>
        <w:bottom w:val="none" w:sz="0" w:space="0" w:color="auto"/>
        <w:right w:val="none" w:sz="0" w:space="0" w:color="auto"/>
      </w:divBdr>
    </w:div>
    <w:div w:id="1696416724">
      <w:bodyDiv w:val="1"/>
      <w:marLeft w:val="0"/>
      <w:marRight w:val="0"/>
      <w:marTop w:val="0"/>
      <w:marBottom w:val="0"/>
      <w:divBdr>
        <w:top w:val="none" w:sz="0" w:space="0" w:color="auto"/>
        <w:left w:val="none" w:sz="0" w:space="0" w:color="auto"/>
        <w:bottom w:val="none" w:sz="0" w:space="0" w:color="auto"/>
        <w:right w:val="none" w:sz="0" w:space="0" w:color="auto"/>
      </w:divBdr>
    </w:div>
    <w:div w:id="1728645488">
      <w:bodyDiv w:val="1"/>
      <w:marLeft w:val="0"/>
      <w:marRight w:val="0"/>
      <w:marTop w:val="0"/>
      <w:marBottom w:val="0"/>
      <w:divBdr>
        <w:top w:val="none" w:sz="0" w:space="0" w:color="auto"/>
        <w:left w:val="none" w:sz="0" w:space="0" w:color="auto"/>
        <w:bottom w:val="none" w:sz="0" w:space="0" w:color="auto"/>
        <w:right w:val="none" w:sz="0" w:space="0" w:color="auto"/>
      </w:divBdr>
    </w:div>
    <w:div w:id="1789466576">
      <w:bodyDiv w:val="1"/>
      <w:marLeft w:val="0"/>
      <w:marRight w:val="0"/>
      <w:marTop w:val="0"/>
      <w:marBottom w:val="0"/>
      <w:divBdr>
        <w:top w:val="none" w:sz="0" w:space="0" w:color="auto"/>
        <w:left w:val="none" w:sz="0" w:space="0" w:color="auto"/>
        <w:bottom w:val="none" w:sz="0" w:space="0" w:color="auto"/>
        <w:right w:val="none" w:sz="0" w:space="0" w:color="auto"/>
      </w:divBdr>
    </w:div>
    <w:div w:id="1795784283">
      <w:bodyDiv w:val="1"/>
      <w:marLeft w:val="0"/>
      <w:marRight w:val="0"/>
      <w:marTop w:val="0"/>
      <w:marBottom w:val="0"/>
      <w:divBdr>
        <w:top w:val="none" w:sz="0" w:space="0" w:color="auto"/>
        <w:left w:val="none" w:sz="0" w:space="0" w:color="auto"/>
        <w:bottom w:val="none" w:sz="0" w:space="0" w:color="auto"/>
        <w:right w:val="none" w:sz="0" w:space="0" w:color="auto"/>
      </w:divBdr>
      <w:divsChild>
        <w:div w:id="712533636">
          <w:marLeft w:val="0"/>
          <w:marRight w:val="0"/>
          <w:marTop w:val="0"/>
          <w:marBottom w:val="0"/>
          <w:divBdr>
            <w:top w:val="none" w:sz="0" w:space="0" w:color="auto"/>
            <w:left w:val="none" w:sz="0" w:space="0" w:color="auto"/>
            <w:bottom w:val="none" w:sz="0" w:space="0" w:color="auto"/>
            <w:right w:val="none" w:sz="0" w:space="0" w:color="auto"/>
          </w:divBdr>
          <w:divsChild>
            <w:div w:id="921524208">
              <w:marLeft w:val="0"/>
              <w:marRight w:val="0"/>
              <w:marTop w:val="0"/>
              <w:marBottom w:val="0"/>
              <w:divBdr>
                <w:top w:val="none" w:sz="0" w:space="0" w:color="auto"/>
                <w:left w:val="none" w:sz="0" w:space="0" w:color="auto"/>
                <w:bottom w:val="none" w:sz="0" w:space="0" w:color="auto"/>
                <w:right w:val="none" w:sz="0" w:space="0" w:color="auto"/>
              </w:divBdr>
              <w:divsChild>
                <w:div w:id="1135639692">
                  <w:marLeft w:val="0"/>
                  <w:marRight w:val="0"/>
                  <w:marTop w:val="0"/>
                  <w:marBottom w:val="0"/>
                  <w:divBdr>
                    <w:top w:val="none" w:sz="0" w:space="0" w:color="auto"/>
                    <w:left w:val="none" w:sz="0" w:space="0" w:color="auto"/>
                    <w:bottom w:val="none" w:sz="0" w:space="0" w:color="auto"/>
                    <w:right w:val="none" w:sz="0" w:space="0" w:color="auto"/>
                  </w:divBdr>
                  <w:divsChild>
                    <w:div w:id="1482426400">
                      <w:marLeft w:val="0"/>
                      <w:marRight w:val="0"/>
                      <w:marTop w:val="0"/>
                      <w:marBottom w:val="450"/>
                      <w:divBdr>
                        <w:top w:val="none" w:sz="0" w:space="0" w:color="auto"/>
                        <w:left w:val="none" w:sz="0" w:space="0" w:color="auto"/>
                        <w:bottom w:val="none" w:sz="0" w:space="0" w:color="auto"/>
                        <w:right w:val="none" w:sz="0" w:space="0" w:color="auto"/>
                      </w:divBdr>
                      <w:divsChild>
                        <w:div w:id="4703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547234">
      <w:bodyDiv w:val="1"/>
      <w:marLeft w:val="0"/>
      <w:marRight w:val="0"/>
      <w:marTop w:val="0"/>
      <w:marBottom w:val="0"/>
      <w:divBdr>
        <w:top w:val="none" w:sz="0" w:space="0" w:color="auto"/>
        <w:left w:val="none" w:sz="0" w:space="0" w:color="auto"/>
        <w:bottom w:val="none" w:sz="0" w:space="0" w:color="auto"/>
        <w:right w:val="none" w:sz="0" w:space="0" w:color="auto"/>
      </w:divBdr>
    </w:div>
    <w:div w:id="1890221294">
      <w:bodyDiv w:val="1"/>
      <w:marLeft w:val="0"/>
      <w:marRight w:val="0"/>
      <w:marTop w:val="0"/>
      <w:marBottom w:val="0"/>
      <w:divBdr>
        <w:top w:val="none" w:sz="0" w:space="0" w:color="auto"/>
        <w:left w:val="none" w:sz="0" w:space="0" w:color="auto"/>
        <w:bottom w:val="none" w:sz="0" w:space="0" w:color="auto"/>
        <w:right w:val="none" w:sz="0" w:space="0" w:color="auto"/>
      </w:divBdr>
    </w:div>
    <w:div w:id="1891258633">
      <w:bodyDiv w:val="1"/>
      <w:marLeft w:val="0"/>
      <w:marRight w:val="0"/>
      <w:marTop w:val="0"/>
      <w:marBottom w:val="0"/>
      <w:divBdr>
        <w:top w:val="none" w:sz="0" w:space="0" w:color="auto"/>
        <w:left w:val="none" w:sz="0" w:space="0" w:color="auto"/>
        <w:bottom w:val="none" w:sz="0" w:space="0" w:color="auto"/>
        <w:right w:val="none" w:sz="0" w:space="0" w:color="auto"/>
      </w:divBdr>
    </w:div>
    <w:div w:id="1930460622">
      <w:bodyDiv w:val="1"/>
      <w:marLeft w:val="0"/>
      <w:marRight w:val="0"/>
      <w:marTop w:val="0"/>
      <w:marBottom w:val="0"/>
      <w:divBdr>
        <w:top w:val="none" w:sz="0" w:space="0" w:color="auto"/>
        <w:left w:val="none" w:sz="0" w:space="0" w:color="auto"/>
        <w:bottom w:val="none" w:sz="0" w:space="0" w:color="auto"/>
        <w:right w:val="none" w:sz="0" w:space="0" w:color="auto"/>
      </w:divBdr>
    </w:div>
    <w:div w:id="1948845770">
      <w:bodyDiv w:val="1"/>
      <w:marLeft w:val="0"/>
      <w:marRight w:val="0"/>
      <w:marTop w:val="0"/>
      <w:marBottom w:val="0"/>
      <w:divBdr>
        <w:top w:val="none" w:sz="0" w:space="0" w:color="auto"/>
        <w:left w:val="none" w:sz="0" w:space="0" w:color="auto"/>
        <w:bottom w:val="none" w:sz="0" w:space="0" w:color="auto"/>
        <w:right w:val="none" w:sz="0" w:space="0" w:color="auto"/>
      </w:divBdr>
    </w:div>
    <w:div w:id="1987317035">
      <w:bodyDiv w:val="1"/>
      <w:marLeft w:val="0"/>
      <w:marRight w:val="0"/>
      <w:marTop w:val="0"/>
      <w:marBottom w:val="0"/>
      <w:divBdr>
        <w:top w:val="none" w:sz="0" w:space="0" w:color="auto"/>
        <w:left w:val="none" w:sz="0" w:space="0" w:color="auto"/>
        <w:bottom w:val="none" w:sz="0" w:space="0" w:color="auto"/>
        <w:right w:val="none" w:sz="0" w:space="0" w:color="auto"/>
      </w:divBdr>
    </w:div>
    <w:div w:id="2002997649">
      <w:bodyDiv w:val="1"/>
      <w:marLeft w:val="0"/>
      <w:marRight w:val="0"/>
      <w:marTop w:val="0"/>
      <w:marBottom w:val="0"/>
      <w:divBdr>
        <w:top w:val="none" w:sz="0" w:space="0" w:color="auto"/>
        <w:left w:val="none" w:sz="0" w:space="0" w:color="auto"/>
        <w:bottom w:val="none" w:sz="0" w:space="0" w:color="auto"/>
        <w:right w:val="none" w:sz="0" w:space="0" w:color="auto"/>
      </w:divBdr>
    </w:div>
    <w:div w:id="2009364594">
      <w:bodyDiv w:val="1"/>
      <w:marLeft w:val="0"/>
      <w:marRight w:val="0"/>
      <w:marTop w:val="0"/>
      <w:marBottom w:val="0"/>
      <w:divBdr>
        <w:top w:val="none" w:sz="0" w:space="0" w:color="auto"/>
        <w:left w:val="none" w:sz="0" w:space="0" w:color="auto"/>
        <w:bottom w:val="none" w:sz="0" w:space="0" w:color="auto"/>
        <w:right w:val="none" w:sz="0" w:space="0" w:color="auto"/>
      </w:divBdr>
    </w:div>
    <w:div w:id="2065567185">
      <w:bodyDiv w:val="1"/>
      <w:marLeft w:val="0"/>
      <w:marRight w:val="0"/>
      <w:marTop w:val="0"/>
      <w:marBottom w:val="0"/>
      <w:divBdr>
        <w:top w:val="none" w:sz="0" w:space="0" w:color="auto"/>
        <w:left w:val="none" w:sz="0" w:space="0" w:color="auto"/>
        <w:bottom w:val="none" w:sz="0" w:space="0" w:color="auto"/>
        <w:right w:val="none" w:sz="0" w:space="0" w:color="auto"/>
      </w:divBdr>
    </w:div>
    <w:div w:id="207195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7597-kartiba-kada-izglitojamie-tiek-uznemti-visparejas-izglitibas-programmas-specialajas-izglitibas-iestades-un-specialajas-pirmssko..." TargetMode="External"/><Relationship Id="rId3" Type="http://schemas.openxmlformats.org/officeDocument/2006/relationships/styles" Target="styles.xml"/><Relationship Id="rId7" Type="http://schemas.openxmlformats.org/officeDocument/2006/relationships/hyperlink" Target="https://likumi.lv/ta/id/277597-kartiba-kada-izglitojamie-tiek-uznemti-visparejas-izglitibas-programmas-specialajas-izglitibas-iestades-un-specialajas-pirmssk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kumi.lv/ta/id/315304-epidemiologiskas-drosibas-pasakumi-covid-19-infekcijas-izplatibas-ierobezosana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64B16-1F82-4789-A070-04DD7823B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7285</Words>
  <Characters>4153</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Marita Pabērza</dc:creator>
  <cp:keywords/>
  <dc:description/>
  <cp:lastModifiedBy>Marita Pabērza</cp:lastModifiedBy>
  <cp:revision>8</cp:revision>
  <dcterms:created xsi:type="dcterms:W3CDTF">2021-05-05T08:08:00Z</dcterms:created>
  <dcterms:modified xsi:type="dcterms:W3CDTF">2021-05-05T09:13:00Z</dcterms:modified>
</cp:coreProperties>
</file>